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spacing w:before="120" w:beforeAutospacing="0" w:after="12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120" w:beforeAutospacing="0" w:after="120" w:afterAutospacing="0" w:line="360" w:lineRule="auto"/>
        <w:rPr>
          <w:rFonts w:hint="eastAsia" w:ascii="宋体" w:hAnsi="宋体" w:eastAsia="宋体" w:cs="宋体"/>
          <w:b/>
          <w:color w:val="auto"/>
          <w:sz w:val="84"/>
          <w:szCs w:val="84"/>
          <w:highlight w:val="none"/>
          <w:shd w:val="clear" w:color="auto" w:fill="auto"/>
        </w:rPr>
      </w:pPr>
      <w:r>
        <w:rPr>
          <w:rFonts w:hint="eastAsia" w:ascii="宋体" w:hAnsi="宋体" w:eastAsia="宋体" w:cs="宋体"/>
          <w:b/>
          <w:color w:val="auto"/>
          <w:sz w:val="84"/>
          <w:szCs w:val="84"/>
          <w:highlight w:val="none"/>
          <w:shd w:val="clear" w:color="auto" w:fill="auto"/>
        </w:rPr>
      </w:r>
      <w:r/>
    </w:p>
    <w:p>
      <w:pPr>
        <w:pStyle w:val="856"/>
        <w:jc w:val="center"/>
        <w:spacing w:before="120" w:beforeAutospacing="0" w:after="120" w:afterAutospacing="0" w:line="360" w:lineRule="auto"/>
        <w:rPr>
          <w:rFonts w:hint="eastAsia" w:ascii="宋体" w:hAnsi="宋体" w:eastAsia="宋体" w:cs="宋体"/>
          <w:b/>
          <w:color w:val="auto"/>
          <w:sz w:val="84"/>
          <w:szCs w:val="84"/>
          <w:highlight w:val="none"/>
          <w:shd w:val="clear" w:color="auto" w:fill="auto"/>
        </w:rPr>
      </w:pPr>
      <w:r>
        <w:rPr>
          <w:rFonts w:hint="eastAsia" w:ascii="宋体" w:hAnsi="宋体" w:eastAsia="宋体" w:cs="宋体"/>
          <w:b/>
          <w:color w:val="auto"/>
          <w:sz w:val="84"/>
          <w:szCs w:val="84"/>
          <w:highlight w:val="none"/>
          <w:shd w:val="clear" w:color="auto" w:fill="auto"/>
        </w:rPr>
        <w:t xml:space="preserve">竞争性谈判文件</w:t>
      </w:r>
      <w:r/>
    </w:p>
    <w:p>
      <w:pPr>
        <w:pStyle w:val="856"/>
        <w:jc w:val="center"/>
        <w:spacing w:before="120" w:beforeAutospacing="0" w:after="120" w:afterAutospacing="0" w:line="360" w:lineRule="auto"/>
        <w:rPr>
          <w:rFonts w:hint="eastAsia" w:ascii="宋体" w:hAnsi="宋体" w:eastAsia="宋体" w:cs="宋体"/>
          <w:b/>
          <w:color w:val="auto"/>
          <w:sz w:val="84"/>
          <w:szCs w:val="84"/>
          <w:highlight w:val="none"/>
          <w:shd w:val="clear" w:color="auto" w:fill="auto"/>
        </w:rPr>
      </w:pPr>
      <w:r>
        <w:rPr>
          <w:rFonts w:hint="eastAsia" w:ascii="宋体" w:hAnsi="宋体" w:eastAsia="宋体" w:cs="宋体"/>
          <w:b/>
          <w:color w:val="auto"/>
          <w:sz w:val="84"/>
          <w:szCs w:val="84"/>
          <w:highlight w:val="none"/>
          <w:shd w:val="clear" w:color="auto" w:fill="auto"/>
        </w:rPr>
      </w:r>
      <w:r/>
    </w:p>
    <w:p>
      <w:pPr>
        <w:pStyle w:val="856"/>
        <w:ind w:firstLine="964"/>
        <w:jc w:val="left"/>
        <w:spacing w:before="120" w:beforeAutospacing="0" w:after="120" w:afterAutospacing="0" w:line="360" w:lineRule="auto"/>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项目名称：</w:t>
      </w:r>
      <w:r>
        <w:rPr>
          <w:rFonts w:hint="eastAsia" w:ascii="宋体" w:hAnsi="宋体" w:eastAsia="宋体" w:cs="宋体"/>
          <w:b/>
          <w:color w:val="auto"/>
          <w:sz w:val="36"/>
          <w:szCs w:val="36"/>
          <w:highlight w:val="none"/>
          <w:lang w:val="en-US" w:eastAsia="zh-CN"/>
        </w:rPr>
        <w:t xml:space="preserve">东台市沿海湿地与岸线生态环境综合治理服务项目（一期）</w:t>
      </w:r>
      <w:r/>
    </w:p>
    <w:p>
      <w:pPr>
        <w:pStyle w:val="856"/>
        <w:ind w:firstLine="964"/>
        <w:jc w:val="both"/>
        <w:spacing w:before="120" w:beforeAutospacing="0" w:after="120" w:afterAutospacing="0" w:line="360" w:lineRule="auto"/>
        <w:rPr>
          <w:rFonts w:hint="default" w:ascii="宋体" w:hAnsi="宋体" w:eastAsia="宋体" w:cs="宋体"/>
          <w:color w:val="auto"/>
          <w:highlight w:val="none"/>
          <w:shd w:val="clear" w:color="auto" w:fill="auto"/>
          <w:lang w:val="en-US" w:eastAsia="zh-CN"/>
        </w:rPr>
      </w:pPr>
      <w:r>
        <w:rPr>
          <w:rFonts w:hint="eastAsia" w:ascii="宋体" w:hAnsi="宋体" w:eastAsia="宋体" w:cs="宋体"/>
          <w:b/>
          <w:color w:val="auto"/>
          <w:sz w:val="32"/>
          <w:szCs w:val="32"/>
          <w:highlight w:val="none"/>
          <w:shd w:val="clear" w:color="auto" w:fill="auto"/>
        </w:rPr>
        <w:t xml:space="preserve">项目编号：</w:t>
      </w:r>
      <w:r>
        <w:rPr>
          <w:rFonts w:hint="eastAsia" w:ascii="宋体" w:hAnsi="宋体" w:eastAsia="宋体" w:cs="宋体"/>
          <w:b/>
          <w:color w:val="auto"/>
          <w:sz w:val="36"/>
          <w:szCs w:val="36"/>
          <w:highlight w:val="none"/>
          <w:lang w:val="en-US" w:eastAsia="zh-CN"/>
        </w:rPr>
        <w:t xml:space="preserve">JSZC-320981-SQGC-T2025-0056</w:t>
      </w:r>
      <w:r/>
    </w:p>
    <w:p>
      <w:pPr>
        <w:pStyle w:val="856"/>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keepLines w:val="0"/>
        <w:keepNext w:val="0"/>
        <w:pageBreakBefore w:val="0"/>
        <w:spacing w:before="120" w:beforeAutospacing="0" w:after="120" w:afterAutospacing="0" w:line="640" w:lineRule="exact"/>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东台市土地储备中心</w:t>
      </w:r>
      <w:r/>
    </w:p>
    <w:p>
      <w:pPr>
        <w:pStyle w:val="856"/>
        <w:jc w:val="center"/>
        <w:spacing w:before="120" w:beforeAutospacing="0" w:after="12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u w:val="single"/>
          <w:lang w:val="en-US" w:eastAsia="zh-CN"/>
        </w:rPr>
        <w:t xml:space="preserve">2025</w:t>
      </w:r>
      <w:r>
        <w:rPr>
          <w:rFonts w:hint="eastAsia" w:ascii="宋体" w:hAnsi="宋体" w:eastAsia="宋体" w:cs="宋体"/>
          <w:b/>
          <w:color w:val="auto"/>
          <w:sz w:val="36"/>
          <w:szCs w:val="36"/>
          <w:highlight w:val="none"/>
        </w:rPr>
        <w:t xml:space="preserve">年</w:t>
      </w:r>
      <w:r>
        <w:rPr>
          <w:rFonts w:hint="eastAsia" w:ascii="宋体" w:hAnsi="宋体" w:eastAsia="宋体" w:cs="宋体"/>
          <w:b/>
          <w:color w:val="auto"/>
          <w:sz w:val="36"/>
          <w:szCs w:val="36"/>
          <w:highlight w:val="none"/>
          <w:u w:val="single"/>
          <w:lang w:val="en-US" w:eastAsia="zh-CN"/>
        </w:rPr>
        <w:t xml:space="preserve">11</w:t>
      </w:r>
      <w:r>
        <w:rPr>
          <w:rFonts w:hint="eastAsia" w:ascii="宋体" w:hAnsi="宋体" w:eastAsia="宋体" w:cs="宋体"/>
          <w:b/>
          <w:color w:val="auto"/>
          <w:sz w:val="36"/>
          <w:szCs w:val="36"/>
          <w:highlight w:val="none"/>
        </w:rPr>
        <w:t xml:space="preserve">月</w:t>
      </w:r>
      <w:r/>
    </w:p>
    <w:p>
      <w:pPr>
        <w:pStyle w:val="856"/>
        <w:jc w:val="center"/>
        <w:spacing w:before="120" w:beforeAutospacing="0" w:after="12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sz w:val="21"/>
          <w:szCs w:val="21"/>
          <w:highlight w:val="none"/>
          <w:shd w:val="clear" w:color="auto" w:fill="auto"/>
        </w:rPr>
        <w:t xml:space="preserve"> </w:t>
      </w:r>
      <w:bookmarkStart w:id="0" w:name="_Toc16938516"/>
      <w:r/>
      <w:bookmarkStart w:id="1" w:name="_Toc20823272"/>
      <w:r/>
      <w:bookmarkStart w:id="2" w:name="_Toc523127445"/>
      <w:r/>
      <w:bookmarkStart w:id="3" w:name="_Toc120614210"/>
      <w:r/>
      <w:bookmarkStart w:id="4" w:name="_Toc513029200"/>
      <w:r/>
      <w:bookmarkStart w:id="5" w:name="_Toc479757206"/>
      <w:r>
        <w:rPr>
          <w:rFonts w:hint="eastAsia" w:ascii="宋体" w:hAnsi="宋体" w:eastAsia="宋体" w:cs="宋体"/>
          <w:b/>
          <w:color w:val="auto"/>
          <w:sz w:val="44"/>
          <w:szCs w:val="44"/>
          <w:highlight w:val="none"/>
          <w:shd w:val="clear" w:color="auto" w:fill="auto"/>
        </w:rPr>
        <w:t xml:space="preserve">总 目 录</w:t>
      </w:r>
      <w:bookmarkEnd w:id="0"/>
      <w:r/>
      <w:bookmarkEnd w:id="1"/>
      <w:r/>
      <w:bookmarkEnd w:id="2"/>
      <w:r/>
      <w:bookmarkEnd w:id="3"/>
      <w:r/>
      <w:bookmarkEnd w:id="4"/>
      <w:r/>
      <w:bookmarkEnd w:id="5"/>
      <w:r/>
      <w:r/>
    </w:p>
    <w:p>
      <w:pPr>
        <w:pStyle w:val="856"/>
        <w:jc w:val="both"/>
        <w:spacing w:beforeAutospacing="0" w:afterAutospacing="0" w:line="48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left="0" w:firstLine="720"/>
        <w:jc w:val="both"/>
        <w:keepLines w:val="0"/>
        <w:keepNext w:val="0"/>
        <w:pageBreakBefore w:val="0"/>
        <w:spacing w:beforeAutospacing="0" w:afterAutospacing="0" w:line="760" w:lineRule="exact"/>
        <w:widowControl w:val="off"/>
        <w:tabs>
          <w:tab w:val="left" w:pos="1441" w:leader="none"/>
        </w:tabs>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sz w:val="36"/>
          <w:szCs w:val="36"/>
          <w:highlight w:val="none"/>
          <w:shd w:val="clear" w:color="auto" w:fill="auto"/>
          <w:lang w:val="en-US" w:eastAsia="zh-CN"/>
        </w:rPr>
        <w:t xml:space="preserve">第一章  竞争性</w:t>
      </w:r>
      <w:r>
        <w:rPr>
          <w:rFonts w:hint="eastAsia" w:ascii="宋体" w:hAnsi="宋体" w:eastAsia="宋体" w:cs="宋体"/>
          <w:color w:val="auto"/>
          <w:sz w:val="36"/>
          <w:szCs w:val="36"/>
          <w:highlight w:val="none"/>
          <w:shd w:val="clear" w:color="auto" w:fill="auto"/>
        </w:rPr>
        <w:t xml:space="preserve">谈判</w:t>
      </w:r>
      <w:r>
        <w:rPr>
          <w:rFonts w:hint="eastAsia" w:ascii="宋体" w:hAnsi="宋体" w:eastAsia="宋体" w:cs="宋体"/>
          <w:color w:val="auto"/>
          <w:sz w:val="36"/>
          <w:szCs w:val="36"/>
          <w:highlight w:val="none"/>
          <w:shd w:val="clear" w:color="auto" w:fill="auto"/>
          <w:lang w:val="en-US" w:eastAsia="zh-CN"/>
        </w:rPr>
        <w:t xml:space="preserve">公告</w:t>
      </w:r>
      <w:r/>
    </w:p>
    <w:p>
      <w:pPr>
        <w:pStyle w:val="856"/>
        <w:ind w:left="0" w:firstLine="720"/>
        <w:jc w:val="both"/>
        <w:keepLines w:val="0"/>
        <w:keepNext w:val="0"/>
        <w:pageBreakBefore w:val="0"/>
        <w:spacing w:beforeAutospacing="0" w:afterAutospacing="0" w:line="760" w:lineRule="exact"/>
        <w:widowControl w:val="off"/>
        <w:tabs>
          <w:tab w:val="left" w:pos="1441" w:leader="none"/>
        </w:tabs>
        <w:rPr>
          <w:rFonts w:hint="eastAsia" w:ascii="宋体" w:hAnsi="宋体" w:eastAsia="宋体" w:cs="宋体"/>
          <w:color w:val="auto"/>
          <w:sz w:val="36"/>
          <w:szCs w:val="36"/>
          <w:highlight w:val="none"/>
          <w:shd w:val="clear" w:color="auto" w:fill="auto"/>
        </w:rPr>
      </w:pPr>
      <w:r>
        <w:rPr>
          <w:rFonts w:hint="eastAsia" w:ascii="宋体" w:hAnsi="宋体" w:eastAsia="宋体" w:cs="宋体"/>
          <w:color w:val="auto"/>
          <w:sz w:val="36"/>
          <w:szCs w:val="36"/>
          <w:highlight w:val="none"/>
          <w:shd w:val="clear" w:color="auto" w:fill="auto"/>
          <w:lang w:val="en-US" w:eastAsia="zh-CN"/>
        </w:rPr>
        <w:t xml:space="preserve">第二章  </w:t>
      </w:r>
      <w:r>
        <w:rPr>
          <w:rFonts w:hint="eastAsia" w:ascii="宋体" w:hAnsi="宋体" w:eastAsia="宋体" w:cs="宋体"/>
          <w:color w:val="auto"/>
          <w:sz w:val="36"/>
          <w:szCs w:val="36"/>
          <w:highlight w:val="none"/>
          <w:shd w:val="clear" w:color="auto" w:fill="auto"/>
        </w:rPr>
        <w:t xml:space="preserve">供应商须知</w:t>
      </w:r>
      <w:r/>
    </w:p>
    <w:p>
      <w:pPr>
        <w:pStyle w:val="856"/>
        <w:ind w:left="0" w:firstLine="720"/>
        <w:jc w:val="both"/>
        <w:keepLines w:val="0"/>
        <w:keepNext w:val="0"/>
        <w:pageBreakBefore w:val="0"/>
        <w:spacing w:beforeAutospacing="0" w:afterAutospacing="0" w:line="760" w:lineRule="exact"/>
        <w:widowControl w:val="off"/>
        <w:tabs>
          <w:tab w:val="left" w:pos="1441" w:leader="none"/>
        </w:tabs>
        <w:rPr>
          <w:rFonts w:hint="eastAsia" w:ascii="宋体" w:hAnsi="宋体" w:eastAsia="宋体" w:cs="宋体"/>
          <w:color w:val="auto"/>
          <w:highlight w:val="none"/>
          <w:shd w:val="clear" w:color="auto" w:fill="auto"/>
        </w:rPr>
      </w:pPr>
      <w:r>
        <w:rPr>
          <w:rFonts w:hint="eastAsia" w:ascii="宋体" w:hAnsi="宋体" w:eastAsia="宋体" w:cs="宋体"/>
          <w:color w:val="auto"/>
          <w:sz w:val="36"/>
          <w:szCs w:val="36"/>
          <w:highlight w:val="none"/>
          <w:shd w:val="clear" w:color="auto" w:fill="auto"/>
          <w:lang w:val="en-US" w:eastAsia="zh-CN"/>
        </w:rPr>
        <w:t xml:space="preserve">第三章  </w:t>
      </w:r>
      <w:r>
        <w:rPr>
          <w:rFonts w:hint="eastAsia" w:ascii="宋体" w:hAnsi="宋体" w:eastAsia="宋体" w:cs="宋体"/>
          <w:color w:val="auto"/>
          <w:sz w:val="36"/>
          <w:szCs w:val="36"/>
          <w:highlight w:val="none"/>
          <w:shd w:val="clear" w:color="auto" w:fill="auto"/>
        </w:rPr>
        <w:t xml:space="preserve">合同文本</w:t>
      </w:r>
      <w:r/>
    </w:p>
    <w:p>
      <w:pPr>
        <w:pStyle w:val="856"/>
        <w:ind w:left="0" w:firstLine="720"/>
        <w:jc w:val="both"/>
        <w:keepLines w:val="0"/>
        <w:keepNext w:val="0"/>
        <w:pageBreakBefore w:val="0"/>
        <w:spacing w:beforeAutospacing="0" w:afterAutospacing="0" w:line="760" w:lineRule="exact"/>
        <w:widowControl w:val="off"/>
        <w:tabs>
          <w:tab w:val="left" w:pos="1441" w:leader="none"/>
        </w:tabs>
        <w:rPr>
          <w:rFonts w:hint="eastAsia" w:ascii="宋体" w:hAnsi="宋体" w:eastAsia="宋体" w:cs="宋体"/>
          <w:color w:val="auto"/>
          <w:highlight w:val="none"/>
          <w:shd w:val="clear" w:color="auto" w:fill="auto"/>
        </w:rPr>
      </w:pPr>
      <w:r>
        <w:rPr>
          <w:rFonts w:hint="eastAsia" w:ascii="宋体" w:hAnsi="宋体" w:eastAsia="宋体" w:cs="宋体"/>
          <w:color w:val="auto"/>
          <w:sz w:val="36"/>
          <w:szCs w:val="36"/>
          <w:highlight w:val="none"/>
          <w:shd w:val="clear" w:color="auto" w:fill="auto"/>
          <w:lang w:val="en-US" w:eastAsia="zh-CN"/>
        </w:rPr>
        <w:t xml:space="preserve">第四章  </w:t>
      </w:r>
      <w:r>
        <w:rPr>
          <w:rFonts w:hint="eastAsia" w:ascii="宋体" w:hAnsi="宋体" w:eastAsia="宋体" w:cs="宋体"/>
          <w:color w:val="auto"/>
          <w:sz w:val="36"/>
          <w:szCs w:val="36"/>
          <w:highlight w:val="none"/>
          <w:shd w:val="clear" w:color="auto" w:fill="auto"/>
        </w:rPr>
        <w:t xml:space="preserve">采购需求</w:t>
      </w:r>
      <w:r/>
    </w:p>
    <w:p>
      <w:pPr>
        <w:pStyle w:val="856"/>
        <w:ind w:left="0" w:firstLine="720"/>
        <w:jc w:val="both"/>
        <w:keepLines w:val="0"/>
        <w:keepNext w:val="0"/>
        <w:pageBreakBefore w:val="0"/>
        <w:spacing w:beforeAutospacing="0" w:afterAutospacing="0" w:line="760" w:lineRule="exact"/>
        <w:widowControl w:val="off"/>
        <w:tabs>
          <w:tab w:val="left" w:pos="1441" w:leader="none"/>
        </w:tabs>
        <w:rPr>
          <w:rFonts w:hint="eastAsia" w:ascii="宋体" w:hAnsi="宋体" w:eastAsia="宋体" w:cs="宋体"/>
          <w:color w:val="auto"/>
          <w:highlight w:val="none"/>
          <w:shd w:val="clear" w:color="auto" w:fill="auto"/>
        </w:rPr>
      </w:pPr>
      <w:r>
        <w:rPr>
          <w:rFonts w:hint="eastAsia" w:ascii="宋体" w:hAnsi="宋体" w:eastAsia="宋体" w:cs="宋体"/>
          <w:color w:val="auto"/>
          <w:sz w:val="36"/>
          <w:szCs w:val="36"/>
          <w:highlight w:val="none"/>
          <w:shd w:val="clear" w:color="auto" w:fill="auto"/>
          <w:lang w:val="en-US" w:eastAsia="zh-CN"/>
        </w:rPr>
        <w:t xml:space="preserve">第五章  </w:t>
      </w:r>
      <w:r>
        <w:rPr>
          <w:rFonts w:hint="eastAsia" w:ascii="宋体" w:hAnsi="宋体" w:eastAsia="宋体" w:cs="宋体"/>
          <w:color w:val="auto"/>
          <w:sz w:val="36"/>
          <w:szCs w:val="36"/>
          <w:highlight w:val="none"/>
          <w:shd w:val="clear" w:color="auto" w:fill="auto"/>
        </w:rPr>
        <w:t xml:space="preserve">响应文件格式</w:t>
      </w:r>
      <w:r/>
    </w:p>
    <w:p>
      <w:pPr>
        <w:pStyle w:val="856"/>
        <w:ind w:left="0" w:firstLine="480"/>
        <w:jc w:val="both"/>
        <w:keepLines w:val="0"/>
        <w:keepNext w:val="0"/>
        <w:pageBreakBefore w:val="0"/>
        <w:spacing w:beforeAutospacing="0" w:afterAutospacing="0" w:line="56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keepNext/>
        <w:spacing w:beforeAutospacing="0" w:afterAutospacing="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highlight w:val="none"/>
          <w:shd w:val="clear" w:color="auto" w:fill="auto"/>
        </w:rPr>
        <w:t xml:space="preserve"> </w:t>
      </w:r>
      <w:r>
        <w:rPr>
          <w:rFonts w:hint="eastAsia" w:ascii="宋体" w:hAnsi="宋体" w:eastAsia="宋体" w:cs="宋体"/>
          <w:b/>
          <w:bCs/>
          <w:color w:val="auto"/>
          <w:sz w:val="44"/>
          <w:szCs w:val="44"/>
          <w:highlight w:val="none"/>
          <w:shd w:val="clear" w:color="auto" w:fill="auto"/>
        </w:rPr>
        <w:t xml:space="preserve">第一章  </w:t>
      </w:r>
      <w:r>
        <w:rPr>
          <w:rFonts w:hint="eastAsia" w:ascii="宋体" w:hAnsi="宋体" w:eastAsia="宋体" w:cs="宋体"/>
          <w:b/>
          <w:bCs/>
          <w:color w:val="auto"/>
          <w:sz w:val="44"/>
          <w:szCs w:val="44"/>
          <w:highlight w:val="none"/>
          <w:shd w:val="clear" w:color="auto" w:fill="auto"/>
          <w:lang w:val="en-US" w:eastAsia="zh-CN"/>
        </w:rPr>
        <w:t xml:space="preserve">竞争性</w:t>
      </w:r>
      <w:r>
        <w:rPr>
          <w:rFonts w:hint="eastAsia" w:ascii="宋体" w:hAnsi="宋体" w:eastAsia="宋体" w:cs="宋体"/>
          <w:b/>
          <w:bCs/>
          <w:color w:val="auto"/>
          <w:sz w:val="44"/>
          <w:szCs w:val="44"/>
          <w:highlight w:val="none"/>
          <w:shd w:val="clear" w:color="auto" w:fill="auto"/>
        </w:rPr>
        <w:t xml:space="preserve">谈判</w:t>
      </w:r>
      <w:r>
        <w:rPr>
          <w:rFonts w:hint="eastAsia" w:ascii="宋体" w:hAnsi="宋体" w:eastAsia="宋体" w:cs="宋体"/>
          <w:b/>
          <w:bCs/>
          <w:color w:val="auto"/>
          <w:sz w:val="44"/>
          <w:szCs w:val="44"/>
          <w:highlight w:val="none"/>
          <w:shd w:val="clear" w:color="auto" w:fill="auto"/>
          <w:lang w:val="en-US" w:eastAsia="zh-CN"/>
        </w:rPr>
        <w:t xml:space="preserve">公告</w:t>
      </w:r>
      <w:bookmarkStart w:id="6" w:name="_Toc28359086"/>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shd w:val="clear" w:color="auto" w:fill="auto"/>
        </w:rPr>
        <w:t xml:space="preserve">项目概况</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东台市沿海湿地与岸线生态环境综合治理服务项目（一期）</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项目的潜在供应商</w:t>
      </w:r>
      <w:r>
        <w:rPr>
          <w:rFonts w:hint="eastAsia" w:ascii="宋体" w:hAnsi="宋体" w:eastAsia="宋体" w:cs="宋体"/>
          <w:color w:val="auto"/>
          <w:sz w:val="24"/>
          <w:szCs w:val="24"/>
          <w:highlight w:val="none"/>
          <w:shd w:val="clear" w:color="auto" w:fill="auto"/>
          <w:lang w:val="en-US" w:eastAsia="zh-CN"/>
        </w:rPr>
        <w:t xml:space="preserve">应</w:t>
      </w:r>
      <w:r>
        <w:rPr>
          <w:rFonts w:hint="eastAsia" w:ascii="宋体" w:hAnsi="宋体" w:eastAsia="宋体" w:cs="宋体"/>
          <w:color w:val="auto"/>
          <w:sz w:val="24"/>
          <w:szCs w:val="24"/>
          <w:highlight w:val="none"/>
          <w:shd w:val="clear" w:color="auto" w:fill="auto"/>
        </w:rPr>
        <w:t xml:space="preserve">在</w:t>
      </w:r>
      <w:r>
        <w:rPr>
          <w:rFonts w:hint="eastAsia" w:ascii="宋体" w:hAnsi="宋体" w:eastAsia="宋体" w:cs="宋体"/>
          <w:i w:val="0"/>
          <w:iCs w:val="0"/>
          <w:caps w:val="0"/>
          <w:color w:val="auto"/>
          <w:spacing w:val="0"/>
          <w:sz w:val="24"/>
          <w:szCs w:val="24"/>
          <w:highlight w:val="none"/>
          <w:shd w:val="clear" w:color="auto" w:fill="auto"/>
        </w:rPr>
        <w:t xml:space="preserve">“苏采云”系统内免费下载（投标人必须在苏采云系统中获取</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i w:val="0"/>
          <w:iCs w:val="0"/>
          <w:caps w:val="0"/>
          <w:color w:val="auto"/>
          <w:spacing w:val="0"/>
          <w:sz w:val="24"/>
          <w:szCs w:val="24"/>
          <w:highlight w:val="none"/>
          <w:shd w:val="clear" w:color="auto" w:fill="auto"/>
        </w:rPr>
        <w:t xml:space="preserve">文件，方能参与政府采购项目）</w:t>
      </w:r>
      <w:r>
        <w:rPr>
          <w:rFonts w:hint="eastAsia" w:ascii="宋体" w:hAnsi="宋体" w:eastAsia="宋体" w:cs="宋体"/>
          <w:color w:val="auto"/>
          <w:sz w:val="24"/>
          <w:szCs w:val="24"/>
          <w:highlight w:val="none"/>
          <w:shd w:val="clear" w:color="auto" w:fill="auto"/>
        </w:rPr>
        <w:t xml:space="preserve">，并于</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shd w:val="clear" w:color="auto" w:fill="auto"/>
        </w:rPr>
        <w:t xml:space="preserve">北京时间）前递交响应文件。</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b/>
          <w:bCs w:val="0"/>
          <w:i w:val="0"/>
          <w:caps w:val="0"/>
          <w:color w:val="auto"/>
          <w:spacing w:val="0"/>
          <w:sz w:val="24"/>
          <w:szCs w:val="24"/>
          <w:highlight w:val="none"/>
          <w:lang w:val="en-US" w:eastAsia="zh-CN"/>
        </w:rPr>
      </w:pPr>
      <w:r>
        <w:rPr>
          <w:highlight w:val="none"/>
        </w:rPr>
      </w:r>
      <w:r>
        <w:rPr>
          <w:highlight w:val="none"/>
        </w:rPr>
      </w:r>
    </w:p>
    <w:p>
      <w:pPr>
        <w:pStyle w:val="856"/>
        <w:ind w:firstLine="482"/>
        <w:jc w:val="both"/>
        <w:keepLines w:val="0"/>
        <w:keepNext w:val="0"/>
        <w:pageBreakBefore w:val="0"/>
        <w:spacing w:beforeAutospacing="0" w:afterAutospacing="0" w:line="440" w:lineRule="exact"/>
        <w:widowControl w:val="off"/>
        <w:rPr>
          <w:iCs w:val="0"/>
          <w:highlight w:val="none"/>
          <w:shd w:val="clear" w:color="auto" w:fill="ffffff"/>
        </w:rPr>
      </w:pPr>
      <w:r/>
      <w:bookmarkStart w:id="7" w:name="_Toc35393790"/>
      <w:r/>
      <w:bookmarkStart w:id="8" w:name="_Hlk24379207"/>
      <w:r/>
      <w:bookmarkStart w:id="9" w:name="_Toc35393621"/>
      <w:r/>
      <w:bookmarkStart w:id="10" w:name="_Toc28359079"/>
      <w:r/>
      <w:bookmarkStart w:id="11" w:name="_Toc38985263"/>
      <w:r/>
      <w:bookmarkStart w:id="12" w:name="_Toc28359002"/>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一、项目基本情况</w:t>
      </w:r>
      <w:bookmarkEnd w:id="7"/>
      <w:r/>
      <w:bookmarkEnd w:id="8"/>
      <w:r/>
      <w:bookmarkEnd w:id="9"/>
      <w:r/>
      <w:bookmarkEnd w:id="10"/>
      <w:r/>
      <w:bookmarkEnd w:id="11"/>
      <w:r/>
      <w:bookmarkEnd w:id="12"/>
      <w:r/>
      <w:r/>
    </w:p>
    <w:p>
      <w:pPr>
        <w:pStyle w:val="856"/>
        <w:ind w:firstLine="480"/>
        <w:jc w:val="both"/>
        <w:keepLines w:val="0"/>
        <w:keepNext w:val="0"/>
        <w:pageBreakBefore w:val="0"/>
        <w:spacing w:beforeAutospacing="0" w:afterAutospacing="0" w:line="440" w:lineRule="exact"/>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1.项目编号：JSZC-320981-SQGC-T2025-0056</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2.项目名称：东台市沿海湿地与岸线生态环境综合治理服务项目（一期）</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3.采购方式：竞争性谈判 </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13" w:name="_Toc35393622"/>
      <w:r/>
      <w:bookmarkStart w:id="14" w:name="_Toc28359003"/>
      <w:r/>
      <w:bookmarkStart w:id="15" w:name="_Toc35393791"/>
      <w:r/>
      <w:bookmarkStart w:id="16" w:name="_Toc38985264"/>
      <w:r/>
      <w:bookmarkStart w:id="17" w:name="_Toc2835908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4.预算金额：人民币52100.00万元</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5.最高限价：人民币52100.00万元</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6.采购需求（简介）：东台市沿海湿地与岸线生态环境综合治理服务项目（一期），具体详见采购需求及服务承诺，采购人保留进行调整的权利。</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7.合同履行期限：自合同生效之日起12个月内完成。</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8.本项目（是/否）接受联合体投标：否。</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二、申请人的资格要求：</w:t>
      </w:r>
      <w:bookmarkEnd w:id="13"/>
      <w:r/>
      <w:bookmarkEnd w:id="14"/>
      <w:r/>
      <w:bookmarkEnd w:id="15"/>
      <w:r/>
      <w:bookmarkEnd w:id="16"/>
      <w:r/>
      <w:bookmarkEnd w:id="17"/>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1.满足《中华人民共和国政府采购法》第二十二条规定，并提供下列材料：</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1.1 法人或者其他组织的营业执照等证明文件，自然人的身份证明；</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1.2上一年度的财务状况报告（成立不满一年无需提供）；</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1.3具备履行合同所必需的设备和专业技术能力的书面声明；</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1.5参加政府采购活动前3年内在经营活动中没有重大违法记录的书面声明。</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1.6法律、行政法规规定的其他条件。</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1.8单位负责人为同一人或者存在直接控股、管理关系的不同供应商，不得参加同一合同项下的政府采购活动。</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2.落实政府采购政策需满足的资格要求：无。</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3.本项目的特定资格要求：无。</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三、获取谈判文件</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18" w:name="_Toc35393624"/>
      <w:r/>
      <w:bookmarkStart w:id="19" w:name="_Toc38985266"/>
      <w:r/>
      <w:bookmarkStart w:id="20" w:name="_Toc28359082"/>
      <w:r/>
      <w:bookmarkStart w:id="21" w:name="_Toc35393793"/>
      <w:r/>
      <w:bookmarkStart w:id="22" w:name="_Toc2835900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1.时间：自谈判文件公告发布之日起3个工作日。</w:t>
      </w:r>
      <w:bookmarkEnd w:id="18"/>
      <w:r/>
      <w:bookmarkEnd w:id="19"/>
      <w:r/>
      <w:bookmarkEnd w:id="20"/>
      <w:r/>
      <w:bookmarkEnd w:id="21"/>
      <w:r/>
      <w:bookmarkEnd w:id="22"/>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2.地点：“苏采云”系统内免费下载（投标人必须在苏采云系统中获取谈判文件，方能参与政府采购项目）；</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 </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四、响应文件提交</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1.截止时间：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2025年11月20日15：00时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（北京时间）。</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2.地点：“苏采云”政府采购交易系统网上开标大厅。</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bookmarkStart w:id="23" w:name="_Toc38985268"/>
      <w:r/>
      <w:bookmarkStart w:id="24" w:name="_Toc35393795"/>
      <w:r/>
      <w:bookmarkStart w:id="25" w:name="_Toc35393626"/>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五、开启</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2025年11月20日15：00时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（北京时间）。</w:t>
      </w:r>
      <w:bookmarkEnd w:id="23"/>
      <w:r/>
      <w:bookmarkEnd w:id="24"/>
      <w:r/>
      <w:bookmarkEnd w:id="25"/>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2.地点：东台市北海西路8号东台市公共资源交易中心开标二室。</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bookmarkStart w:id="26" w:name="_Toc28359094"/>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六、公告期限</w:t>
      </w:r>
      <w:bookmarkEnd w:id="26"/>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自本公告发布之日起3个工作日。</w:t>
      </w:r>
      <w:r/>
    </w:p>
    <w:p>
      <w:pPr>
        <w:pStyle w:val="856"/>
        <w:ind w:firstLine="482"/>
        <w:jc w:val="both"/>
        <w:keepLines w:val="0"/>
        <w:keepNext w:val="0"/>
        <w:pageBreakBefore w:val="0"/>
        <w:spacing w:beforeAutospacing="0" w:afterAutospacing="0" w:line="44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七、其他补充事宜</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27"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3.潜在供应商访问电子招标响应交易平台的网络地址和方法： </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3.1“苏采云”系统用户注册--获取“CA 数字证书”--CA 绑定与登录--参与投 标--下载谈判文件（后缀名为“.kedt”）--将后缀名为“.kedt”的谈判文件导入政府采购客户端工具--制作响应文件--导出加密的响应文件（后缀名为 zip）--通过“苏采云”系统上传响应文件。具体见《“苏采云”系统供应商操作手册》 （手册下载地址：苏采云系统-右侧消息通知栏）。 </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3.2潜在投标人访问“苏采云”系统方法：江苏省政府采购网首页-“苏采云”链接。 </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3.3谈判文件（后缀名为“.kedt”）、供应商操作手册及政府采购客户端 工具可通过“苏采云”系统相应链接进行下载。 </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3.4采购代理机构将数据电文形式的谈判文件加载至“苏采云”系统，供潜在供应商下载或者查阅。 </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3.5请潜在投标单位提前安装相应的控件（详见《“苏采云”系统供应商操作手册》）并使用谷歌浏览器登录“苏采云”系统参与不见面开评标。 </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4.有关本次谈判的事项若存在变动或修改，敬请及时关注在“中国政府采购网”“江苏政府采购网”“盐城市政府采购网”发布的更正公告。</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 本次谈判不收取谈判保证金，不收取质量保证金。</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八、凡对本次采购提出询问，请按以下方式联系。</w:t>
      </w:r>
      <w:bookmarkEnd w:id="27"/>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称：东台市土地储备中心 </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址：东台市广场路8号</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联系人：卢女士</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联系电话：0515-85285001        </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称：江苏双清工程造价咨询有限公司</w:t>
      </w:r>
      <w:r/>
    </w:p>
    <w:p>
      <w:pPr>
        <w:pStyle w:val="856"/>
        <w:ind w:firstLine="480"/>
        <w:jc w:val="both"/>
        <w:keepLines w:val="0"/>
        <w:keepNext w:val="0"/>
        <w:pageBreakBefore w:val="0"/>
        <w:spacing w:beforeAutospacing="0" w:afterAutospacing="0" w:line="440" w:lineRule="exact"/>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址：盐城市紫薇广场C区7楼</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人：赵女士</w:t>
      </w:r>
      <w:r/>
    </w:p>
    <w:p>
      <w:pPr>
        <w:pStyle w:val="856"/>
        <w:ind w:firstLine="480"/>
        <w:jc w:val="both"/>
        <w:keepLines w:val="0"/>
        <w:keepNext w:val="0"/>
        <w:pageBreakBefore w:val="0"/>
        <w:spacing w:beforeAutospacing="0" w:afterAutospacing="0" w:line="440" w:lineRule="exact"/>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联系电话：13407500183、0515-88200316</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3.项目联系方式</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项目联系人：赵女士</w:t>
      </w:r>
      <w:r/>
    </w:p>
    <w:p>
      <w:pPr>
        <w:pStyle w:val="856"/>
        <w:ind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话：13407500183　　</w:t>
      </w:r>
      <w:r/>
    </w:p>
    <w:p>
      <w:pPr>
        <w:pStyle w:val="856"/>
        <w:ind w:right="840"/>
        <w:jc w:val="center"/>
        <w:spacing w:beforeAutospacing="0" w:afterAutospacing="0"/>
        <w:rPr>
          <w:rFonts w:hint="eastAsia" w:ascii="宋体" w:hAnsi="宋体" w:eastAsia="宋体" w:cs="宋体"/>
          <w:color w:val="auto"/>
          <w:highlight w:val="none"/>
          <w:shd w:val="clear" w:color="auto" w:fill="auto"/>
        </w:rPr>
      </w:pPr>
      <w:r/>
      <w:bookmarkStart w:id="28" w:name="_Toc120614211"/>
      <w:r>
        <w:rPr>
          <w:rFonts w:hint="eastAsia" w:ascii="宋体" w:hAnsi="宋体" w:eastAsia="宋体" w:cs="宋体"/>
          <w:b/>
          <w:color w:val="auto"/>
          <w:sz w:val="44"/>
          <w:szCs w:val="44"/>
          <w:highlight w:val="none"/>
          <w:shd w:val="clear" w:color="auto" w:fill="auto"/>
        </w:rPr>
        <w:t xml:space="preserve">第二章  </w:t>
      </w:r>
      <w:bookmarkEnd w:id="28"/>
      <w:r>
        <w:rPr>
          <w:rFonts w:hint="eastAsia" w:ascii="宋体" w:hAnsi="宋体" w:eastAsia="宋体" w:cs="宋体"/>
          <w:b/>
          <w:color w:val="auto"/>
          <w:sz w:val="44"/>
          <w:szCs w:val="44"/>
          <w:highlight w:val="none"/>
          <w:shd w:val="clear" w:color="auto" w:fill="auto"/>
        </w:rPr>
        <w:t xml:space="preserve">供应商须知</w:t>
      </w:r>
      <w:r/>
    </w:p>
    <w:p>
      <w:pPr>
        <w:pStyle w:val="856"/>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29" w:name="_Toc120614214"/>
      <w:r/>
      <w:bookmarkStart w:id="30" w:name="_Toc513029203"/>
      <w:r/>
      <w:bookmarkStart w:id="31" w:name="_Toc16938519"/>
      <w:r/>
      <w:bookmarkStart w:id="32" w:name="_Toc20823275"/>
      <w:r>
        <w:rPr>
          <w:rFonts w:hint="eastAsia" w:ascii="宋体" w:hAnsi="宋体" w:eastAsia="宋体" w:cs="宋体"/>
          <w:b/>
          <w:color w:val="auto"/>
          <w:sz w:val="24"/>
          <w:szCs w:val="24"/>
          <w:highlight w:val="none"/>
          <w:shd w:val="clear" w:color="auto" w:fill="auto"/>
        </w:rPr>
        <w:t xml:space="preserve">一、总则</w:t>
      </w:r>
      <w:bookmarkEnd w:id="29"/>
      <w:r/>
      <w:bookmarkEnd w:id="30"/>
      <w:r/>
      <w:bookmarkEnd w:id="31"/>
      <w:r/>
      <w:bookmarkEnd w:id="32"/>
      <w:r/>
      <w:r/>
    </w:p>
    <w:p>
      <w:pPr>
        <w:pStyle w:val="856"/>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33" w:name="_Toc20823276"/>
      <w:r/>
      <w:bookmarkStart w:id="34" w:name="_Toc16938520"/>
      <w:r/>
      <w:bookmarkStart w:id="35" w:name="_Toc513029204"/>
      <w:r/>
      <w:bookmarkStart w:id="36" w:name="_Toc458694821"/>
      <w:r/>
      <w:bookmarkStart w:id="37" w:name="_Hlt16619475"/>
      <w:r>
        <w:rPr>
          <w:rFonts w:hint="eastAsia" w:ascii="宋体" w:hAnsi="宋体" w:eastAsia="宋体" w:cs="宋体"/>
          <w:color w:val="auto"/>
          <w:sz w:val="24"/>
          <w:szCs w:val="24"/>
          <w:highlight w:val="none"/>
          <w:shd w:val="clear" w:color="auto" w:fill="auto"/>
        </w:rPr>
        <w:t xml:space="preserve">1</w:t>
      </w:r>
      <w:bookmarkEnd w:id="33"/>
      <w:r>
        <w:rPr>
          <w:rFonts w:hint="eastAsia" w:ascii="宋体" w:hAnsi="宋体" w:eastAsia="宋体" w:cs="宋体"/>
          <w:color w:val="auto"/>
          <w:sz w:val="24"/>
          <w:szCs w:val="24"/>
          <w:highlight w:val="none"/>
          <w:shd w:val="clear" w:color="auto" w:fill="auto"/>
        </w:rPr>
        <w:t xml:space="preserve">、采购方式</w:t>
      </w:r>
      <w:bookmarkEnd w:id="34"/>
      <w:r/>
      <w:bookmarkEnd w:id="35"/>
      <w:r/>
      <w:bookmarkEnd w:id="36"/>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1.1本次政府采购活动采取竞争性谈判(以下简称谈判)方式，本谈判文件仅适用于谈判公告中所述项目。</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38" w:name="_Toc16938521"/>
      <w:r/>
      <w:bookmarkStart w:id="39" w:name="_Toc20823277"/>
      <w:r/>
      <w:bookmarkStart w:id="40" w:name="_Toc513029205"/>
      <w:r>
        <w:rPr>
          <w:rFonts w:hint="eastAsia" w:ascii="宋体" w:hAnsi="宋体" w:eastAsia="宋体" w:cs="宋体"/>
          <w:color w:val="auto"/>
          <w:sz w:val="24"/>
          <w:szCs w:val="24"/>
          <w:highlight w:val="none"/>
          <w:shd w:val="clear" w:color="auto" w:fill="auto"/>
        </w:rPr>
        <w:t xml:space="preserve">2、合格的</w:t>
      </w:r>
      <w:bookmarkEnd w:id="38"/>
      <w:r/>
      <w:bookmarkEnd w:id="39"/>
      <w:r/>
      <w:bookmarkEnd w:id="40"/>
      <w:r>
        <w:rPr>
          <w:rFonts w:hint="eastAsia" w:ascii="宋体" w:hAnsi="宋体" w:eastAsia="宋体" w:cs="宋体"/>
          <w:color w:val="auto"/>
          <w:sz w:val="24"/>
          <w:szCs w:val="24"/>
          <w:highlight w:val="none"/>
          <w:shd w:val="clear" w:color="auto" w:fill="auto"/>
        </w:rPr>
        <w:t xml:space="preserve">供应商</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2.1满足谈判公告中供应商资格要求的规定。</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2.2满足本谈判文件实质性要求和条件的规定。</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41" w:name="_Toc16938522"/>
      <w:r/>
      <w:bookmarkStart w:id="42" w:name="_Toc513029206"/>
      <w:r/>
      <w:bookmarkStart w:id="43" w:name="_Toc20823278"/>
      <w:r>
        <w:rPr>
          <w:rFonts w:hint="eastAsia" w:ascii="宋体" w:hAnsi="宋体" w:eastAsia="宋体" w:cs="宋体"/>
          <w:color w:val="auto"/>
          <w:sz w:val="24"/>
          <w:szCs w:val="24"/>
          <w:highlight w:val="none"/>
          <w:shd w:val="clear" w:color="auto" w:fill="auto"/>
        </w:rPr>
        <w:t xml:space="preserve">3、适用法律</w:t>
      </w:r>
      <w:bookmarkEnd w:id="41"/>
      <w:r/>
      <w:bookmarkEnd w:id="42"/>
      <w:r/>
      <w:bookmarkEnd w:id="43"/>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3.1本次谈判及由此产生的合同受中华人民共和国有关的法律法规制约和保护。</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44" w:name="_Toc462564067"/>
      <w:r/>
      <w:bookmarkStart w:id="45" w:name="_Toc20823279"/>
      <w:r/>
      <w:bookmarkStart w:id="46" w:name="_Toc513029207"/>
      <w:r/>
      <w:bookmarkStart w:id="47" w:name="_Toc16938523"/>
      <w:r>
        <w:rPr>
          <w:rFonts w:hint="eastAsia" w:ascii="宋体" w:hAnsi="宋体" w:eastAsia="宋体" w:cs="宋体"/>
          <w:color w:val="auto"/>
          <w:sz w:val="24"/>
          <w:szCs w:val="24"/>
          <w:highlight w:val="none"/>
          <w:shd w:val="clear" w:color="auto" w:fill="auto"/>
        </w:rPr>
        <w:t xml:space="preserve">4、谈判费用</w:t>
      </w:r>
      <w:bookmarkEnd w:id="44"/>
      <w:r/>
      <w:bookmarkEnd w:id="45"/>
      <w:r/>
      <w:bookmarkEnd w:id="46"/>
      <w:r/>
      <w:bookmarkEnd w:id="47"/>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4.1供应商应自行承担所有与参加本次谈判有关的费用，无论谈判过程中的做法和结果如何，</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4.2本次谈判采购人不收取标书工本费。</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5、谈判文件的约束力</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5.1供应商一旦参加本项目采购活动，即被认为接受了本谈判文件的规定和约束。</w:t>
      </w:r>
      <w:r/>
    </w:p>
    <w:p>
      <w:pPr>
        <w:pStyle w:val="856"/>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48" w:name="_Toc20823281"/>
      <w:r/>
      <w:bookmarkStart w:id="49" w:name="_Toc513029209"/>
      <w:r/>
      <w:bookmarkStart w:id="50" w:name="_Toc120614215"/>
      <w:r/>
      <w:bookmarkStart w:id="51" w:name="_Toc16938525"/>
      <w:r>
        <w:rPr>
          <w:rFonts w:hint="eastAsia" w:ascii="宋体" w:hAnsi="宋体" w:eastAsia="宋体" w:cs="宋体"/>
          <w:b/>
          <w:color w:val="auto"/>
          <w:sz w:val="24"/>
          <w:szCs w:val="24"/>
          <w:highlight w:val="none"/>
          <w:shd w:val="clear" w:color="auto" w:fill="auto"/>
        </w:rPr>
        <w:t xml:space="preserve">二、</w:t>
      </w:r>
      <w:bookmarkEnd w:id="48"/>
      <w:r/>
      <w:bookmarkEnd w:id="49"/>
      <w:r/>
      <w:bookmarkEnd w:id="50"/>
      <w:r/>
      <w:bookmarkEnd w:id="51"/>
      <w:r>
        <w:rPr>
          <w:rFonts w:hint="eastAsia" w:ascii="宋体" w:hAnsi="宋体" w:eastAsia="宋体" w:cs="宋体"/>
          <w:b/>
          <w:color w:val="auto"/>
          <w:sz w:val="24"/>
          <w:szCs w:val="24"/>
          <w:highlight w:val="none"/>
          <w:shd w:val="clear" w:color="auto" w:fill="auto"/>
        </w:rPr>
        <w:t xml:space="preserve">谈判文件</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52" w:name="_Toc513029210"/>
      <w:r/>
      <w:bookmarkStart w:id="53" w:name="_Toc16938526"/>
      <w:r/>
      <w:bookmarkStart w:id="54" w:name="_Toc20823282"/>
      <w:r>
        <w:rPr>
          <w:rFonts w:hint="eastAsia" w:ascii="宋体" w:hAnsi="宋体" w:eastAsia="宋体" w:cs="宋体"/>
          <w:color w:val="auto"/>
          <w:sz w:val="24"/>
          <w:szCs w:val="24"/>
          <w:highlight w:val="none"/>
          <w:shd w:val="clear" w:color="auto" w:fill="auto"/>
        </w:rPr>
        <w:t xml:space="preserve">6、谈判文件构成</w:t>
      </w:r>
      <w:bookmarkEnd w:id="52"/>
      <w:r/>
      <w:bookmarkEnd w:id="53"/>
      <w:r/>
      <w:bookmarkEnd w:id="54"/>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6.1谈判文件由以下部分组成：</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谈判</w:t>
      </w:r>
      <w:r>
        <w:rPr>
          <w:rFonts w:hint="eastAsia" w:ascii="宋体" w:hAnsi="宋体" w:eastAsia="宋体" w:cs="宋体"/>
          <w:color w:val="auto"/>
          <w:sz w:val="24"/>
          <w:szCs w:val="24"/>
          <w:highlight w:val="none"/>
          <w:shd w:val="clear" w:color="auto" w:fill="auto"/>
          <w:lang w:val="en-US" w:eastAsia="zh-CN"/>
        </w:rPr>
        <w:t xml:space="preserve">公告</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（5）响应文件格式</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请仔细检查谈判文件是否齐全，如有缺漏请立即与采购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联系解决。</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55" w:name="_Toc20823283"/>
      <w:r/>
      <w:bookmarkStart w:id="56" w:name="_Toc513029211"/>
      <w:r/>
      <w:bookmarkStart w:id="57" w:name="_Toc462564070"/>
      <w:r/>
      <w:bookmarkStart w:id="58" w:name="_Toc16938527"/>
      <w:r>
        <w:rPr>
          <w:rFonts w:hint="eastAsia" w:ascii="宋体" w:hAnsi="宋体" w:eastAsia="宋体" w:cs="宋体"/>
          <w:color w:val="auto"/>
          <w:sz w:val="24"/>
          <w:szCs w:val="24"/>
          <w:highlight w:val="none"/>
          <w:shd w:val="clear" w:color="auto" w:fill="auto"/>
        </w:rPr>
        <w:t xml:space="preserve">7、谈判文件的澄清</w:t>
      </w:r>
      <w:bookmarkEnd w:id="55"/>
      <w:r/>
      <w:bookmarkEnd w:id="56"/>
      <w:r/>
      <w:bookmarkEnd w:id="57"/>
      <w:r/>
      <w:bookmarkEnd w:id="58"/>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7.1任何要求对谈判文件进行澄清的供应商，应在谈判截止期5日前按谈判公告中的通讯地址，以书面形式通知采购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59" w:name="_Toc16938528"/>
      <w:r/>
      <w:bookmarkStart w:id="60" w:name="_Toc513029212"/>
      <w:r/>
      <w:bookmarkStart w:id="61" w:name="_Toc20823284"/>
      <w:r/>
      <w:bookmarkStart w:id="62" w:name="_Toc462564071"/>
      <w:r>
        <w:rPr>
          <w:rFonts w:hint="eastAsia" w:ascii="宋体" w:hAnsi="宋体" w:eastAsia="宋体" w:cs="宋体"/>
          <w:color w:val="auto"/>
          <w:sz w:val="24"/>
          <w:szCs w:val="24"/>
          <w:highlight w:val="none"/>
          <w:shd w:val="clear" w:color="auto" w:fill="auto"/>
        </w:rPr>
        <w:t xml:space="preserve">8、谈判文件的澄清和修改</w:t>
      </w:r>
      <w:bookmarkEnd w:id="59"/>
      <w:r/>
      <w:bookmarkEnd w:id="60"/>
      <w:r/>
      <w:bookmarkEnd w:id="61"/>
      <w:r/>
      <w:bookmarkEnd w:id="62"/>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8.1在响应文件提交截止时间前，采购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可以对谈判文件进行澄清和修改, 澄清或者修改的内容作为谈判文件的组成部分。澄清或者修改的内容可能影响响应文件编制的，采购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将在提交首次响应文件截止时间至少3个工作日前，在</w:t>
      </w:r>
      <w:r>
        <w:rPr>
          <w:rFonts w:hint="eastAsia" w:ascii="宋体" w:hAnsi="宋体" w:eastAsia="宋体" w:cs="宋体"/>
          <w:color w:val="auto"/>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auto"/>
          <w:sz w:val="24"/>
          <w:szCs w:val="24"/>
          <w:highlight w:val="none"/>
          <w:shd w:val="clear" w:color="auto" w:fill="auto"/>
        </w:rPr>
        <w:t xml:space="preserve">上发布书面更正公告形式通知所有获取谈判文件的供应商, 更正公告内容将作为谈判文件的组成部分，并对供应商具有约束力。不足3个工作日的，采购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将顺延提交首次响应文件截止时间。</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可以视采购项目的具体情况，组织供应商进行现场考察或</w:t>
      </w:r>
      <w:r>
        <w:rPr>
          <w:rFonts w:hint="eastAsia" w:ascii="宋体" w:hAnsi="宋体" w:eastAsia="宋体" w:cs="宋体"/>
          <w:i/>
          <w:iCs/>
          <w:color w:val="auto"/>
          <w:sz w:val="24"/>
          <w:szCs w:val="24"/>
          <w:highlight w:val="none"/>
          <w:u w:val="single"/>
          <w:shd w:val="clear" w:color="auto" w:fill="auto"/>
        </w:rPr>
        <w:t xml:space="preserve">召开谈判前答疑会(</w:t>
      </w:r>
      <w:r>
        <w:rPr>
          <w:rFonts w:hint="eastAsia" w:ascii="宋体" w:hAnsi="宋体" w:eastAsia="宋体" w:cs="宋体"/>
          <w:i/>
          <w:iCs/>
          <w:color w:val="auto"/>
          <w:sz w:val="24"/>
          <w:szCs w:val="24"/>
          <w:highlight w:val="none"/>
          <w:u w:val="single"/>
          <w:shd w:val="clear" w:color="auto" w:fill="auto"/>
          <w:lang w:val="en-US" w:eastAsia="zh-CN"/>
        </w:rPr>
        <w:t xml:space="preserve">采购人根据本项目实际情况将召开谈判前答疑会，</w:t>
      </w:r>
      <w:r>
        <w:rPr>
          <w:rFonts w:hint="eastAsia" w:ascii="宋体" w:hAnsi="宋体" w:eastAsia="宋体" w:cs="宋体"/>
          <w:i/>
          <w:iCs/>
          <w:color w:val="auto"/>
          <w:sz w:val="24"/>
          <w:szCs w:val="24"/>
          <w:highlight w:val="none"/>
          <w:u w:val="single"/>
          <w:shd w:val="clear" w:color="auto" w:fill="auto"/>
        </w:rPr>
        <w:t xml:space="preserve">具体</w:t>
      </w:r>
      <w:r>
        <w:rPr>
          <w:rFonts w:hint="eastAsia" w:ascii="宋体" w:hAnsi="宋体" w:eastAsia="宋体" w:cs="宋体"/>
          <w:i/>
          <w:iCs/>
          <w:color w:val="auto"/>
          <w:sz w:val="24"/>
          <w:szCs w:val="24"/>
          <w:highlight w:val="none"/>
          <w:u w:val="single"/>
          <w:shd w:val="clear" w:color="auto" w:fill="auto"/>
          <w:lang w:val="en-US" w:eastAsia="zh-CN"/>
        </w:rPr>
        <w:t xml:space="preserve">时间地点</w:t>
      </w:r>
      <w:r>
        <w:rPr>
          <w:rFonts w:hint="eastAsia" w:ascii="宋体" w:hAnsi="宋体" w:eastAsia="宋体" w:cs="宋体"/>
          <w:i/>
          <w:iCs/>
          <w:color w:val="auto"/>
          <w:sz w:val="24"/>
          <w:szCs w:val="24"/>
          <w:highlight w:val="none"/>
          <w:u w:val="single"/>
          <w:shd w:val="clear" w:color="auto" w:fill="auto"/>
        </w:rPr>
        <w:t xml:space="preserve">详见附件要求</w:t>
      </w:r>
      <w:r>
        <w:rPr>
          <w:rFonts w:hint="eastAsia" w:ascii="宋体" w:hAnsi="宋体" w:eastAsia="宋体" w:cs="宋体"/>
          <w:i/>
          <w:iCs/>
          <w:color w:val="auto"/>
          <w:sz w:val="24"/>
          <w:szCs w:val="24"/>
          <w:highlight w:val="none"/>
          <w:u w:val="single"/>
          <w:shd w:val="clear" w:color="auto" w:fill="auto"/>
          <w:lang w:eastAsia="zh-CN"/>
        </w:rPr>
        <w:t xml:space="preserve">，</w:t>
      </w:r>
      <w:r>
        <w:rPr>
          <w:rFonts w:hint="eastAsia" w:ascii="宋体" w:hAnsi="宋体" w:eastAsia="宋体" w:cs="宋体"/>
          <w:i/>
          <w:iCs/>
          <w:color w:val="auto"/>
          <w:sz w:val="24"/>
          <w:szCs w:val="24"/>
          <w:highlight w:val="none"/>
          <w:u w:val="single"/>
          <w:shd w:val="clear" w:color="auto" w:fill="auto"/>
          <w:lang w:val="en-US" w:eastAsia="zh-CN"/>
        </w:rPr>
        <w:t xml:space="preserve">请各供应商按照要求准时参加</w:t>
      </w:r>
      <w:r>
        <w:rPr>
          <w:rFonts w:hint="eastAsia" w:ascii="宋体" w:hAnsi="宋体" w:eastAsia="宋体" w:cs="宋体"/>
          <w:i/>
          <w:iCs/>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shd w:val="clear" w:color="auto" w:fill="auto"/>
        </w:rPr>
        <w:t xml:space="preserve">，但不单独或分别组织只有一个供应商参加的现场考察和答疑会。</w:t>
      </w:r>
      <w:r/>
    </w:p>
    <w:p>
      <w:pPr>
        <w:pStyle w:val="856"/>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63" w:name="_Toc120614216"/>
      <w:r/>
      <w:bookmarkStart w:id="64" w:name="_Toc20823285"/>
      <w:r/>
      <w:bookmarkStart w:id="65" w:name="_Toc513029213"/>
      <w:r/>
      <w:bookmarkStart w:id="66" w:name="_Toc16938529"/>
      <w:r/>
      <w:bookmarkStart w:id="67" w:name="_Toc462564072"/>
      <w:r>
        <w:rPr>
          <w:rFonts w:hint="eastAsia" w:ascii="宋体" w:hAnsi="宋体" w:eastAsia="宋体" w:cs="宋体"/>
          <w:b/>
          <w:color w:val="auto"/>
          <w:sz w:val="24"/>
          <w:szCs w:val="24"/>
          <w:highlight w:val="none"/>
          <w:shd w:val="clear" w:color="auto" w:fill="auto"/>
        </w:rPr>
        <w:t xml:space="preserve">三、响应文件的编制</w:t>
      </w:r>
      <w:bookmarkEnd w:id="63"/>
      <w:r/>
      <w:bookmarkEnd w:id="64"/>
      <w:r/>
      <w:bookmarkEnd w:id="65"/>
      <w:r/>
      <w:bookmarkEnd w:id="66"/>
      <w:r/>
      <w:bookmarkEnd w:id="67"/>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68" w:name="_Toc20823286"/>
      <w:r/>
      <w:bookmarkStart w:id="69" w:name="_Toc16938530"/>
      <w:r/>
      <w:bookmarkStart w:id="70" w:name="_Toc513029214"/>
      <w:r/>
      <w:bookmarkStart w:id="71" w:name="_Toc462564073"/>
      <w:r>
        <w:rPr>
          <w:rFonts w:hint="eastAsia" w:ascii="宋体" w:hAnsi="宋体" w:eastAsia="宋体" w:cs="宋体"/>
          <w:color w:val="auto"/>
          <w:sz w:val="24"/>
          <w:szCs w:val="24"/>
          <w:highlight w:val="none"/>
          <w:shd w:val="clear" w:color="auto" w:fill="auto"/>
        </w:rPr>
        <w:t xml:space="preserve">9、响应文件的语言及度量衡单位</w:t>
      </w:r>
      <w:bookmarkEnd w:id="68"/>
      <w:r/>
      <w:bookmarkEnd w:id="69"/>
      <w:r/>
      <w:bookmarkEnd w:id="70"/>
      <w:r/>
      <w:bookmarkEnd w:id="71"/>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就有关谈判的所有来往通知、函件和文件均应使用</w:t>
      </w:r>
      <w:r>
        <w:rPr>
          <w:rFonts w:hint="eastAsia" w:ascii="宋体" w:hAnsi="宋体" w:eastAsia="宋体" w:cs="宋体"/>
          <w:b/>
          <w:bCs/>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9.2除技术性能另有规定外，响应文件所使用的度量衡单位，均须采用国家法定计量单位。</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72" w:name="_Toc462564074"/>
      <w:r/>
      <w:bookmarkStart w:id="73" w:name="_Toc16938531"/>
      <w:r/>
      <w:bookmarkStart w:id="74" w:name="_Toc20823287"/>
      <w:r/>
      <w:bookmarkStart w:id="75" w:name="_Toc513029215"/>
      <w:r>
        <w:rPr>
          <w:rFonts w:hint="eastAsia" w:ascii="宋体" w:hAnsi="宋体" w:eastAsia="宋体" w:cs="宋体"/>
          <w:color w:val="auto"/>
          <w:sz w:val="24"/>
          <w:szCs w:val="24"/>
          <w:highlight w:val="none"/>
          <w:shd w:val="clear" w:color="auto" w:fill="auto"/>
        </w:rPr>
        <w:t xml:space="preserve">10、响应文件构成</w:t>
      </w:r>
      <w:bookmarkEnd w:id="72"/>
      <w:r/>
      <w:bookmarkEnd w:id="73"/>
      <w:r/>
      <w:bookmarkEnd w:id="74"/>
      <w:r/>
      <w:bookmarkEnd w:id="75"/>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10.1供应商编写的响应文件应包括资格证明文件、符合性证明文件、分项报价表、技术要求响应及偏离表、商务要求响应及偏离表、其他证明文件、谈判响应函等部分。</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10.2如标书制作工具中格式和内容与</w:t>
      </w:r>
      <w:r>
        <w:rPr>
          <w:rFonts w:hint="eastAsia" w:ascii="宋体" w:hAnsi="宋体" w:eastAsia="宋体" w:cs="宋体"/>
          <w:color w:val="auto"/>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auto"/>
          <w:sz w:val="24"/>
          <w:szCs w:val="24"/>
          <w:highlight w:val="none"/>
          <w:shd w:val="clear" w:color="auto" w:fill="auto"/>
        </w:rPr>
        <w:t xml:space="preserve">发布的谈判文件不一致，请以</w:t>
      </w:r>
      <w:r>
        <w:rPr>
          <w:rFonts w:hint="eastAsia" w:ascii="宋体" w:hAnsi="宋体" w:eastAsia="宋体" w:cs="宋体"/>
          <w:color w:val="auto"/>
          <w:sz w:val="24"/>
          <w:szCs w:val="24"/>
          <w:highlight w:val="none"/>
          <w:shd w:val="clear" w:color="auto" w:fill="auto"/>
          <w:lang w:val="en-US" w:eastAsia="zh-CN"/>
        </w:rPr>
        <w:t xml:space="preserve">“中国政府采购网”“江苏政府采购网”“盐城市政府采购网”</w:t>
      </w:r>
      <w:r>
        <w:rPr>
          <w:rFonts w:hint="eastAsia" w:ascii="宋体" w:hAnsi="宋体" w:eastAsia="宋体" w:cs="宋体"/>
          <w:color w:val="auto"/>
          <w:sz w:val="24"/>
          <w:szCs w:val="24"/>
          <w:highlight w:val="none"/>
          <w:shd w:val="clear" w:color="auto" w:fill="auto"/>
        </w:rPr>
        <w:t xml:space="preserve">发布的谈判文件为准。</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76" w:name="_Toc49090507"/>
      <w:r/>
      <w:bookmarkStart w:id="77" w:name="_Toc14577355"/>
      <w:r/>
      <w:bookmarkStart w:id="78" w:name="_Toc513029219"/>
      <w:r/>
      <w:bookmarkStart w:id="79" w:name="_Toc14577354"/>
      <w:r/>
      <w:bookmarkStart w:id="80" w:name="_Toc14577357"/>
      <w:r/>
      <w:bookmarkStart w:id="81" w:name="_Toc513029216"/>
      <w:r/>
      <w:bookmarkStart w:id="82" w:name="_Toc49090509"/>
      <w:r/>
      <w:bookmarkStart w:id="83" w:name="_Toc49090508"/>
      <w:r/>
      <w:bookmarkStart w:id="84" w:name="_Hlt26670360"/>
      <w:r/>
      <w:bookmarkStart w:id="85" w:name="_Hlt26954838"/>
      <w:r/>
      <w:bookmarkStart w:id="86" w:name="_Hlt26668975"/>
      <w:r>
        <w:rPr>
          <w:rFonts w:hint="eastAsia" w:ascii="宋体" w:hAnsi="宋体" w:eastAsia="宋体" w:cs="宋体"/>
          <w:color w:val="auto"/>
          <w:sz w:val="24"/>
          <w:szCs w:val="24"/>
          <w:highlight w:val="none"/>
          <w:shd w:val="clear" w:color="auto" w:fill="auto"/>
        </w:rPr>
        <w:t xml:space="preserve">11、证明谈判响应标的符合谈判文件规定的文件</w:t>
      </w:r>
      <w:bookmarkEnd w:id="76"/>
      <w:r/>
      <w:bookmarkEnd w:id="77"/>
      <w:r/>
      <w:bookmarkEnd w:id="78"/>
      <w:r/>
      <w:bookmarkEnd w:id="79"/>
      <w:r/>
      <w:bookmarkEnd w:id="80"/>
      <w:r/>
      <w:bookmarkEnd w:id="81"/>
      <w:r/>
      <w:bookmarkEnd w:id="82"/>
      <w:r/>
      <w:bookmarkEnd w:id="83"/>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11.1供应商应按照谈判文件要求提交证明文件，证明其及谈判响应标的符合谈判文件规定。</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11.2谈判文件对证明文件无明确形式要求的，证明文件可以以文字资料、图纸和数据等形式提交。</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12.1供应商应按照谈判文件规定格式填报分项报价表。</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12.2谈判货币。响应文件中的单价和总价无特殊规定的采用人民币报价，以元为单位标注。谈判文件中另有规定的按规定执行。</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87" w:name="_Hlt26670482"/>
      <w:r/>
      <w:bookmarkStart w:id="88" w:name="_Hlt26954731"/>
      <w:r/>
      <w:bookmarkStart w:id="89" w:name="_Hlt26954846"/>
      <w:r/>
      <w:bookmarkStart w:id="90" w:name="_Hlt26670486"/>
      <w:r/>
      <w:bookmarkStart w:id="91" w:name="_Hlt26954848"/>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13.1供应商需对谈判文件中的技术要求与商务要求逐项作出响应或偏离，并说明原因。</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14、服务承诺、人员安排及其他</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14.1供应商需根据谈判文件要求提供有关售后服务的管理制度，售后服务机构的分布情况，售后服务人员的数量、素质、技术水平及售后服务的反应能力等。</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14.2供应商需根据谈判文件要求提供谈判响应标的的主要组成部分、实现思路及关键技术等。</w:t>
      </w:r>
      <w:r/>
    </w:p>
    <w:p>
      <w:pPr>
        <w:pStyle w:val="856"/>
        <w:ind w:left="0" w:firstLine="480"/>
        <w:jc w:val="both"/>
        <w:pageBreakBefore w:val="0"/>
        <w:spacing w:beforeAutospacing="0" w:afterAutospacing="0" w:line="440" w:lineRule="exact"/>
        <w:widowControl w:val="off"/>
        <w:rPr>
          <w:rFonts w:hint="eastAsia" w:ascii="宋体" w:hAnsi="宋体" w:eastAsia="宋体" w:cs="宋体"/>
          <w:i/>
          <w:iCs/>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14.3</w:t>
      </w:r>
      <w:r>
        <w:rPr>
          <w:rFonts w:hint="eastAsia" w:ascii="宋体" w:hAnsi="宋体" w:eastAsia="宋体" w:cs="宋体"/>
          <w:i/>
          <w:iCs/>
          <w:color w:val="auto"/>
          <w:sz w:val="24"/>
          <w:szCs w:val="24"/>
          <w:highlight w:val="none"/>
          <w:u w:val="single"/>
          <w:shd w:val="clear" w:color="auto" w:fill="auto"/>
          <w:lang w:val="en-US" w:eastAsia="zh-CN"/>
        </w:rPr>
        <w:t xml:space="preserve">供应商需根据谈判文件要求提供针对本项目的服务承诺（具体格式根据采购人提供的格式执行）。</w:t>
      </w:r>
      <w:r/>
    </w:p>
    <w:p>
      <w:pPr>
        <w:ind w:left="0" w:right="0" w:firstLine="480"/>
        <w:jc w:val="both"/>
        <w:pageBreakBefore w:val="0"/>
        <w:spacing w:line="44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14.4投标人须根据实际服务需求，掌握有关可能影响投标报价的因素和情况进行综合报价。投标报价除标的物的价款外还应包括但不限于：人工费、管</w:t>
      </w:r>
      <w:r>
        <w:rPr>
          <w:rFonts w:hint="eastAsia" w:ascii="宋体" w:hAnsi="宋体" w:eastAsia="宋体" w:cs="宋体"/>
          <w:color w:val="auto"/>
          <w:sz w:val="24"/>
          <w:szCs w:val="24"/>
          <w:highlight w:val="none"/>
          <w:lang w:val="en-US" w:eastAsia="zh-CN" w:bidi="ar-SA"/>
        </w:rPr>
        <w:t xml:space="preserve">理费、差旅费、技术服务、基础资料及文件的收集、外出考察调研、会务费、方案汇报、专家论证费、相关部门审查、报批、验收及其相关服务、社会保险费、办公经费、福利费、加班费、培训费、通讯费、安全教育费、安全管理、事故赔偿、人员意外伤害保险等保险、投标费用、项目管理费、金融费用、资金成本、财务成本、利息差、税差、办公场所及办公设备费、人员食宿费、交通费、车辆费、机械费、材料费、设备费、规费、利润、措施项目费、税金、政策性文件规定、售后服务以及不可预见等其他有关的为完成本项目发生的所有费用，采购人不再另行支付任何费用。</w:t>
      </w:r>
      <w:bookmarkStart w:id="181" w:name="_GoBack"/>
      <w:r/>
      <w:bookmarkEnd w:id="181"/>
      <w:r/>
      <w:r/>
    </w:p>
    <w:p>
      <w:pPr>
        <w:ind w:left="0" w:right="0" w:firstLine="480"/>
        <w:jc w:val="both"/>
        <w:pageBreakBefore w:val="0"/>
        <w:spacing w:line="440" w:lineRule="exac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14.5本项目</w:t>
      </w:r>
      <w:r>
        <w:rPr>
          <w:rFonts w:hint="eastAsia" w:ascii="宋体" w:hAnsi="宋体" w:eastAsia="宋体" w:cs="宋体"/>
          <w:color w:val="auto"/>
          <w:sz w:val="24"/>
          <w:szCs w:val="24"/>
          <w:highlight w:val="none"/>
          <w:lang w:val="en-US" w:eastAsia="zh-CN" w:bidi="ar-SA"/>
        </w:rPr>
        <w:t xml:space="preserve">招标代理服务费按江苏省苏招协【2022】002号标准*20.66%计取。</w:t>
      </w:r>
      <w:r/>
    </w:p>
    <w:p>
      <w:pPr>
        <w:ind w:left="0" w:right="0" w:firstLine="480"/>
        <w:jc w:val="both"/>
        <w:pageBreakBefore w:val="0"/>
        <w:spacing w:line="44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92" w:name="_Toc49090510"/>
      <w:r/>
      <w:bookmarkStart w:id="93" w:name="_Toc14577359"/>
      <w:r>
        <w:rPr>
          <w:rFonts w:hint="eastAsia" w:ascii="宋体" w:hAnsi="宋体" w:eastAsia="宋体" w:cs="宋体"/>
          <w:color w:val="auto"/>
          <w:sz w:val="24"/>
          <w:szCs w:val="24"/>
          <w:highlight w:val="none"/>
          <w:lang w:val="en-US" w:eastAsia="zh-CN" w:bidi="ar-SA"/>
        </w:rPr>
        <w:t xml:space="preserve">15、谈判响应函</w:t>
      </w:r>
      <w:bookmarkEnd w:id="92"/>
      <w:r/>
      <w:bookmarkEnd w:id="93"/>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15.1供应商应按照谈判文件中提供的格式完整、正确填写谈判响应函。</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94" w:name="_Toc49090511"/>
      <w:r/>
      <w:bookmarkStart w:id="95" w:name="_Toc14577360"/>
      <w:r>
        <w:rPr>
          <w:rFonts w:hint="eastAsia" w:ascii="宋体" w:hAnsi="宋体" w:eastAsia="宋体" w:cs="宋体"/>
          <w:color w:val="auto"/>
          <w:sz w:val="24"/>
          <w:szCs w:val="24"/>
          <w:highlight w:val="none"/>
          <w:shd w:val="clear" w:color="auto" w:fill="auto"/>
        </w:rPr>
        <w:t xml:space="preserve">16、谈判有效期</w:t>
      </w:r>
      <w:bookmarkEnd w:id="94"/>
      <w:r/>
      <w:bookmarkEnd w:id="95"/>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16.1谈判有效期为采购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规定的提交响应文件截止之日后</w:t>
      </w:r>
      <w:r>
        <w:rPr>
          <w:rFonts w:hint="eastAsia" w:ascii="宋体" w:hAnsi="宋体" w:eastAsia="宋体" w:cs="宋体"/>
          <w:color w:val="auto"/>
          <w:sz w:val="24"/>
          <w:szCs w:val="24"/>
          <w:highlight w:val="none"/>
          <w:shd w:val="clear" w:color="auto" w:fill="auto"/>
          <w:lang w:val="en-US" w:eastAsia="zh-CN"/>
        </w:rPr>
        <w:t xml:space="preserve">九</w:t>
      </w:r>
      <w:r>
        <w:rPr>
          <w:rFonts w:hint="eastAsia" w:ascii="宋体" w:hAnsi="宋体" w:eastAsia="宋体" w:cs="宋体"/>
          <w:color w:val="auto"/>
          <w:sz w:val="24"/>
          <w:szCs w:val="24"/>
          <w:highlight w:val="none"/>
          <w:shd w:val="clear" w:color="auto" w:fill="auto"/>
        </w:rPr>
        <w:t xml:space="preserve">十（</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0）天。谈判有效期比规定短的将被视为非实质性响应谈判文件而予以拒绝。</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17、谈判有效期的延长</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于原谈判有效期满之前，可向供应商提出延长谈判有效期的要求。这种要求与答复均应采用书面形式。供应商可以拒绝采购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的这一要求而放弃谈判，同意延长谈判有效期的供应商既不能要求也不允许修改其响应文件。受谈判有效期约束的所有权利与义务均延长至新的有效期。</w:t>
      </w:r>
      <w:r/>
    </w:p>
    <w:p>
      <w:pPr>
        <w:pStyle w:val="856"/>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96" w:name="_Toc20823296"/>
      <w:r/>
      <w:bookmarkStart w:id="97" w:name="_Toc120614217"/>
      <w:r/>
      <w:bookmarkStart w:id="98" w:name="_Toc16938540"/>
      <w:r/>
      <w:bookmarkStart w:id="99" w:name="_Toc513029224"/>
      <w:r/>
      <w:bookmarkStart w:id="100" w:name="_Hlt26954739"/>
      <w:r/>
      <w:bookmarkStart w:id="101" w:name="_Hlt26954852"/>
      <w:r>
        <w:rPr>
          <w:rFonts w:hint="eastAsia" w:ascii="宋体" w:hAnsi="宋体" w:eastAsia="宋体" w:cs="宋体"/>
          <w:b/>
          <w:color w:val="auto"/>
          <w:sz w:val="24"/>
          <w:szCs w:val="24"/>
          <w:highlight w:val="none"/>
          <w:shd w:val="clear" w:color="auto" w:fill="auto"/>
        </w:rPr>
        <w:t xml:space="preserve">四、响应文件的递交</w:t>
      </w:r>
      <w:bookmarkEnd w:id="96"/>
      <w:r/>
      <w:bookmarkEnd w:id="97"/>
      <w:r/>
      <w:bookmarkEnd w:id="98"/>
      <w:r/>
      <w:bookmarkEnd w:id="99"/>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02" w:name="_Toc513029225"/>
      <w:r/>
      <w:bookmarkStart w:id="103" w:name="_Toc16938541"/>
      <w:r/>
      <w:bookmarkStart w:id="104" w:name="_Toc20823297"/>
      <w:r/>
      <w:bookmarkStart w:id="105" w:name="_Toc462564084"/>
      <w:r>
        <w:rPr>
          <w:rFonts w:hint="eastAsia" w:ascii="宋体" w:hAnsi="宋体" w:eastAsia="宋体" w:cs="宋体"/>
          <w:color w:val="auto"/>
          <w:sz w:val="24"/>
          <w:szCs w:val="24"/>
          <w:highlight w:val="none"/>
          <w:shd w:val="clear" w:color="auto" w:fill="auto"/>
        </w:rPr>
        <w:t xml:space="preserve">18、电子谈判</w:t>
      </w:r>
      <w:bookmarkEnd w:id="102"/>
      <w:r/>
      <w:bookmarkEnd w:id="103"/>
      <w:r/>
      <w:bookmarkEnd w:id="104"/>
      <w:r/>
      <w:bookmarkEnd w:id="105"/>
      <w:r>
        <w:rPr>
          <w:rFonts w:hint="eastAsia" w:ascii="宋体" w:hAnsi="宋体" w:eastAsia="宋体" w:cs="宋体"/>
          <w:color w:val="auto"/>
          <w:sz w:val="24"/>
          <w:szCs w:val="24"/>
          <w:highlight w:val="none"/>
          <w:shd w:val="clear" w:color="auto" w:fill="auto"/>
        </w:rPr>
        <w:t xml:space="preserve">响应文件的递交</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18.1供应商应当按照《操作手册》规定，在提交响应文件截止时间前制作并上传电子响应文件。</w:t>
      </w:r>
      <w:bookmarkStart w:id="106" w:name="_Toc16938542"/>
      <w:r/>
      <w:bookmarkEnd w:id="106"/>
      <w:r/>
      <w:bookmarkStart w:id="107" w:name="_Toc20823298"/>
      <w:r/>
      <w:bookmarkEnd w:id="107"/>
      <w:r/>
      <w:bookmarkStart w:id="108" w:name="_Toc513029226"/>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19.1供应商上传电子响应文件的时间不得迟于谈判公告中规定的提交响应文件截止时间。</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供应商应充分考虑到网络环境、网络带宽等风险因素，如因供应商自身原因造成的电子响应文件上传不成功的按照本谈判文件第二章第26.3.2条规定做无效响应处理。</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可以按照规定，通过修改谈判文件酌情延长提交响应文件截止日期，在此情况下，供应商的所有权利和义务以及供应商受制的截止日期均应以延长后新的截止日期为准。</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09" w:name="_Toc513029227"/>
      <w:r/>
      <w:bookmarkStart w:id="110" w:name="_Toc20823299"/>
      <w:r/>
      <w:bookmarkStart w:id="111" w:name="_Toc16938543"/>
      <w:r>
        <w:rPr>
          <w:rFonts w:hint="eastAsia" w:ascii="宋体" w:hAnsi="宋体" w:eastAsia="宋体" w:cs="宋体"/>
          <w:color w:val="auto"/>
          <w:sz w:val="24"/>
          <w:szCs w:val="24"/>
          <w:highlight w:val="none"/>
          <w:shd w:val="clear" w:color="auto" w:fill="auto"/>
        </w:rPr>
        <w:t xml:space="preserve">20、响应文件</w:t>
      </w:r>
      <w:bookmarkEnd w:id="109"/>
      <w:r/>
      <w:bookmarkEnd w:id="110"/>
      <w:r/>
      <w:bookmarkEnd w:id="111"/>
      <w:r>
        <w:rPr>
          <w:rFonts w:hint="eastAsia" w:ascii="宋体" w:hAnsi="宋体" w:eastAsia="宋体" w:cs="宋体"/>
          <w:color w:val="auto"/>
          <w:sz w:val="24"/>
          <w:szCs w:val="24"/>
          <w:highlight w:val="none"/>
          <w:shd w:val="clear" w:color="auto" w:fill="auto"/>
        </w:rPr>
        <w:t xml:space="preserve">的拒收</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拒绝接收在其规定的提交响应文件截止时间后上传的任何电子响应文件。</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12" w:name="_Toc513029228"/>
      <w:r/>
      <w:bookmarkStart w:id="113" w:name="_Toc16938544"/>
      <w:r/>
      <w:bookmarkStart w:id="114" w:name="_Toc20823300"/>
      <w:r>
        <w:rPr>
          <w:rFonts w:hint="eastAsia" w:ascii="宋体" w:hAnsi="宋体" w:eastAsia="宋体" w:cs="宋体"/>
          <w:color w:val="auto"/>
          <w:sz w:val="24"/>
          <w:szCs w:val="24"/>
          <w:highlight w:val="none"/>
          <w:shd w:val="clear" w:color="auto" w:fill="auto"/>
        </w:rPr>
        <w:t xml:space="preserve">21、响应文件的撤回和修改</w:t>
      </w:r>
      <w:bookmarkEnd w:id="112"/>
      <w:r/>
      <w:bookmarkEnd w:id="113"/>
      <w:r/>
      <w:bookmarkEnd w:id="114"/>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21.1.1电子响应文件的撤回</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供应商可在提交响应文件截止时间前，撤回其电子响应文件，具体操作方法见《操作手册》。</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21.1.2供应商撤回电子响应文件，则认为其不再参与本项目谈判活动。</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供应商可在提交响应文件截止时间前，对其电子响应文件进行修改，具体操作方法见《操作手册》。</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21.3在提交响应文件截止时间之后，供应商不得对其电子响应文件作任何修改。</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21.4在提交响应文件截止时间至谈判文件中规定的谈判有效期满之间的这段时间内，供应商不得撤回其响应文件。</w:t>
      </w:r>
      <w:r/>
    </w:p>
    <w:p>
      <w:pPr>
        <w:pStyle w:val="856"/>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15" w:name="_Toc513029229"/>
      <w:r/>
      <w:bookmarkStart w:id="116" w:name="_Toc120614218"/>
      <w:r/>
      <w:bookmarkStart w:id="117" w:name="_Toc20823301"/>
      <w:r/>
      <w:bookmarkStart w:id="118" w:name="_Toc16938545"/>
      <w:r>
        <w:rPr>
          <w:rFonts w:hint="eastAsia" w:ascii="宋体" w:hAnsi="宋体" w:eastAsia="宋体" w:cs="宋体"/>
          <w:b/>
          <w:color w:val="auto"/>
          <w:sz w:val="24"/>
          <w:szCs w:val="24"/>
          <w:highlight w:val="none"/>
          <w:shd w:val="clear" w:color="auto" w:fill="auto"/>
        </w:rPr>
        <w:t xml:space="preserve">五、响应文件的解密与评审</w:t>
      </w:r>
      <w:bookmarkEnd w:id="115"/>
      <w:r/>
      <w:bookmarkEnd w:id="116"/>
      <w:r/>
      <w:bookmarkEnd w:id="117"/>
      <w:r/>
      <w:bookmarkEnd w:id="118"/>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19" w:name="_Toc513029230"/>
      <w:r/>
      <w:bookmarkStart w:id="120" w:name="_Toc20823302"/>
      <w:r/>
      <w:bookmarkStart w:id="121" w:name="_Toc16938546"/>
      <w:r>
        <w:rPr>
          <w:rFonts w:hint="eastAsia" w:ascii="宋体" w:hAnsi="宋体" w:eastAsia="宋体" w:cs="宋体"/>
          <w:color w:val="auto"/>
          <w:sz w:val="24"/>
          <w:szCs w:val="24"/>
          <w:highlight w:val="none"/>
          <w:shd w:val="clear" w:color="auto" w:fill="auto"/>
        </w:rPr>
        <w:t xml:space="preserve">22、</w:t>
      </w:r>
      <w:bookmarkEnd w:id="119"/>
      <w:r/>
      <w:bookmarkEnd w:id="120"/>
      <w:r/>
      <w:bookmarkEnd w:id="121"/>
      <w:r>
        <w:rPr>
          <w:rFonts w:hint="eastAsia" w:ascii="宋体" w:hAnsi="宋体" w:eastAsia="宋体" w:cs="宋体"/>
          <w:color w:val="auto"/>
          <w:sz w:val="24"/>
          <w:szCs w:val="24"/>
          <w:highlight w:val="none"/>
          <w:shd w:val="clear" w:color="auto" w:fill="auto"/>
        </w:rPr>
        <w:t xml:space="preserve">响应文件解密</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22.1供应商应当按照《操作手册》规定，在苏采云系统规定的时间内对谈判响应文件进行解密。</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22" w:name="_Toc20823303"/>
      <w:r/>
      <w:bookmarkStart w:id="123" w:name="_Toc16938547"/>
      <w:r/>
      <w:bookmarkStart w:id="124" w:name="_Toc513029231"/>
      <w:r>
        <w:rPr>
          <w:rFonts w:hint="eastAsia" w:ascii="宋体" w:hAnsi="宋体" w:eastAsia="宋体" w:cs="宋体"/>
          <w:color w:val="auto"/>
          <w:sz w:val="24"/>
          <w:szCs w:val="24"/>
          <w:highlight w:val="none"/>
          <w:shd w:val="clear" w:color="auto" w:fill="auto"/>
        </w:rPr>
        <w:t xml:space="preserve">23、谈判小组</w:t>
      </w:r>
      <w:bookmarkEnd w:id="122"/>
      <w:r/>
      <w:bookmarkEnd w:id="123"/>
      <w:r/>
      <w:bookmarkEnd w:id="124"/>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23.1采购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将组织谈判小组对响应文件进行评审。谈判小组由采购人代表和有关技术、经济等方面的专家组成，且人员构成符合政府采购有关规定。</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23.2谈判小组独立工作，负责评审所有响应文件并确定成交</w:t>
      </w:r>
      <w:r>
        <w:rPr>
          <w:rFonts w:hint="eastAsia" w:ascii="宋体" w:hAnsi="宋体" w:eastAsia="宋体" w:cs="宋体"/>
          <w:color w:val="auto"/>
          <w:sz w:val="24"/>
          <w:szCs w:val="24"/>
          <w:highlight w:val="none"/>
          <w:shd w:val="clear" w:color="auto" w:fill="auto"/>
          <w:lang w:eastAsia="zh-CN"/>
        </w:rPr>
        <w:t xml:space="preserve">候选人</w:t>
      </w:r>
      <w:r>
        <w:rPr>
          <w:rFonts w:hint="eastAsia" w:ascii="宋体" w:hAnsi="宋体" w:eastAsia="宋体" w:cs="宋体"/>
          <w:color w:val="auto"/>
          <w:sz w:val="24"/>
          <w:szCs w:val="24"/>
          <w:highlight w:val="none"/>
          <w:shd w:val="clear" w:color="auto" w:fill="auto"/>
        </w:rPr>
        <w:t xml:space="preserve">。</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24、评审过程的保密与公正</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24.1谈判小组、采购人和采购</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工作人员、相关监督人员等与评审工作有关的人员，对评审情况以及在评审过程中获悉的国家秘密、商业秘密负有保密责任。</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24.2在评审过程中，供应商不得以任何行为影响谈判评审过程，否则其响应文件将被</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sz w:val="24"/>
          <w:szCs w:val="24"/>
          <w:highlight w:val="none"/>
          <w:shd w:val="clear" w:color="auto" w:fill="auto"/>
        </w:rPr>
        <w:t xml:space="preserve">无效响应文件。</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24.3在项目评审期间，采购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将设专门人员与供应商联系。</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24.4采购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和谈判小组不向未成交的供应商解释未成交原因，也不公布评审过程中的相关细节。</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25" w:name="_Toc20823304"/>
      <w:r/>
      <w:bookmarkStart w:id="126" w:name="_Toc513029232"/>
      <w:r/>
      <w:bookmarkStart w:id="127" w:name="_Toc16938548"/>
      <w:r>
        <w:rPr>
          <w:rFonts w:hint="eastAsia" w:ascii="宋体" w:hAnsi="宋体" w:eastAsia="宋体" w:cs="宋体"/>
          <w:color w:val="auto"/>
          <w:sz w:val="24"/>
          <w:szCs w:val="24"/>
          <w:highlight w:val="none"/>
          <w:shd w:val="clear" w:color="auto" w:fill="auto"/>
        </w:rPr>
        <w:t xml:space="preserve">25、评审过程中</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澄清</w:t>
      </w:r>
      <w:bookmarkEnd w:id="125"/>
      <w:r/>
      <w:bookmarkEnd w:id="126"/>
      <w:r/>
      <w:bookmarkEnd w:id="127"/>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谈判小组并非对每个供应商都作澄清要求。</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25.3接到谈判小组澄清、说明和更正要求的供应商如未按规定做出澄清、说明和更正，其风险由供应商自行承担。</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28" w:name="_Toc20823305"/>
      <w:r/>
      <w:bookmarkStart w:id="129" w:name="_Toc16938549"/>
      <w:r/>
      <w:bookmarkStart w:id="130" w:name="_Toc513029233"/>
      <w:r>
        <w:rPr>
          <w:rFonts w:hint="eastAsia" w:ascii="宋体" w:hAnsi="宋体" w:eastAsia="宋体" w:cs="宋体"/>
          <w:color w:val="auto"/>
          <w:sz w:val="24"/>
          <w:szCs w:val="24"/>
          <w:highlight w:val="none"/>
          <w:shd w:val="clear" w:color="auto" w:fill="auto"/>
        </w:rPr>
        <w:t xml:space="preserve">26、对响应文件的审</w:t>
      </w:r>
      <w:bookmarkEnd w:id="128"/>
      <w:r/>
      <w:bookmarkEnd w:id="129"/>
      <w:r/>
      <w:bookmarkEnd w:id="130"/>
      <w:r>
        <w:rPr>
          <w:rFonts w:hint="eastAsia" w:ascii="宋体" w:hAnsi="宋体" w:eastAsia="宋体" w:cs="宋体"/>
          <w:color w:val="auto"/>
          <w:sz w:val="24"/>
          <w:szCs w:val="24"/>
          <w:highlight w:val="none"/>
          <w:shd w:val="clear" w:color="auto" w:fill="auto"/>
        </w:rPr>
        <w:t xml:space="preserve">查</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26.1.1资格审查：由谈判小组依据法律法规和谈判文件的规定，对响应文件中的资格证明文件进行审查，以确定供应商是否具备参加谈判的资格。</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谈判小组在进行资格审查的同时，将在“信用中国”网站（www.creditchina.gov.cn）查询供应商的信用记录，以确定供应商是否具备谈判资格,查询结果留存并归档。</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26.1.2符合性审查：依据谈判文件的规定，由谈判小组从响应文件的有效性、完整性和对谈判文件的响应程度进行审查，以确定是否对谈判文件的实质性要求作出响应。</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26.1.3未通过资格审查或符合性审查的供应商，谈判小组将在苏采云系统中告知未通过资格审查或符合性审查的原因，评审结束后，谈判小组将不再告知未通过资格审查或符合性审查的原因。</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26.2在详细评审之前，谈判小组将首先审查每份响应文件是否实质性响应了谈判文件的要求。实质性响应的响应文件应该是与谈判文件要求的条款、条件和规格相符，没有重大偏离或保留。</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所谓重大偏离或保留是指与谈判文件规定的实质性要求存在负偏离，或者在实质上与谈判文件不一致，而且限制了合同中买方和采购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26.3未实质性响应谈判文件的情形</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26.3.2供应商未按照谈判文件要求上传电子响应文件的。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26.3.3同一供应商提交两个（含两个）以上不同的响应文件或者最后报价的。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26.3.4供应商不具备谈判文件中规定资格要求的。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26.3.6不符合谈判文件中规定的实质性要求和条件的</w:t>
      </w:r>
      <w:r>
        <w:rPr>
          <w:rFonts w:hint="eastAsia" w:ascii="宋体" w:hAnsi="宋体" w:eastAsia="宋体" w:cs="宋体"/>
          <w:i/>
          <w:color w:val="auto"/>
          <w:sz w:val="24"/>
          <w:szCs w:val="24"/>
          <w:highlight w:val="none"/>
          <w:u w:val="single"/>
          <w:shd w:val="clear" w:color="auto" w:fill="auto"/>
        </w:rPr>
        <w:t xml:space="preserve">（本谈判文件中斜体且有下划线部分为实质性要求和条件）。</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26.3.8响应文件含有采购人不能接受的附加条件的。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26.3.9本项目采购产品被财政部、</w:t>
      </w:r>
      <w:r>
        <w:rPr>
          <w:rFonts w:hint="eastAsia" w:ascii="宋体" w:hAnsi="宋体" w:eastAsia="宋体" w:cs="宋体"/>
          <w:color w:val="auto"/>
          <w:sz w:val="24"/>
          <w:szCs w:val="24"/>
          <w:highlight w:val="none"/>
          <w:shd w:val="clear" w:color="auto" w:fill="auto"/>
          <w:lang w:eastAsia="zh-CN"/>
        </w:rPr>
        <w:t xml:space="preserve">国家发展改革委</w:t>
      </w:r>
      <w:r>
        <w:rPr>
          <w:rFonts w:hint="eastAsia" w:ascii="宋体" w:hAnsi="宋体" w:eastAsia="宋体" w:cs="宋体"/>
          <w:color w:val="auto"/>
          <w:sz w:val="24"/>
          <w:szCs w:val="24"/>
          <w:highlight w:val="none"/>
          <w:shd w:val="clear" w:color="auto" w:fill="auto"/>
        </w:rPr>
        <w:t xml:space="preserve">、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26.3.10</w:t>
      </w:r>
      <w:r>
        <w:rPr>
          <w:rFonts w:hint="eastAsia" w:ascii="宋体" w:hAnsi="宋体" w:eastAsia="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rPr>
        <w:t xml:space="preserve">不能证明其报价合理性的，</w:t>
      </w:r>
      <w:r>
        <w:rPr>
          <w:rFonts w:hint="eastAsia" w:ascii="宋体" w:hAnsi="宋体" w:eastAsia="宋体" w:cs="宋体"/>
          <w:color w:val="auto"/>
          <w:sz w:val="24"/>
          <w:szCs w:val="24"/>
          <w:highlight w:val="none"/>
          <w:shd w:val="clear" w:color="auto" w:fill="auto"/>
          <w:lang w:val="en-US" w:eastAsia="zh-CN"/>
        </w:rPr>
        <w:t xml:space="preserve">谈判小组</w:t>
      </w:r>
      <w:r>
        <w:rPr>
          <w:rFonts w:hint="eastAsia" w:ascii="宋体" w:hAnsi="宋体" w:eastAsia="宋体" w:cs="宋体"/>
          <w:color w:val="auto"/>
          <w:sz w:val="24"/>
          <w:szCs w:val="24"/>
          <w:highlight w:val="none"/>
          <w:shd w:val="clear" w:color="auto" w:fill="auto"/>
        </w:rPr>
        <w:t xml:space="preserve">应当将其作为无效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处理。</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（一）评审过程中出现下列情形之一的，谈判小组应当启动异常低价响应审查程序：</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1.响应报价低于采购项目预算50%的，即响应报价&lt;采购项目预算×50%；</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2.响应报价低于采购项目最高限价45%的，即响应报价&lt;采购项目最高限价×45%；</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3.谈判小组认定的供应商报价过低、有可能影响产品质量或者不能诚信履约的其他情形。</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二）启动异常低价响应审查后，谈判小组应当要求相关供应商在评标现场合理的时间内，提供项目具体成本测算等与报价合理性相关的书面说明及相关证明材料，对响应价格作出解释，由谈判小组结合同类产品在主要电商平台的价格、该行业当地薪资水平等情况，依据专业经验对供应商报价合理性进行判断。响应供应商不提供书面说明、证明材料，或者提供的书面说明、证明材料不能证明其报价合理性的，谈判小组应当将其作为无效响应处理。审查相关情况应当在评审报告中进行记录。</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26.3.11响应文件未按照谈判文件要求加盖CA电子公章的。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26.4未实质性响应谈判文件的响应文件按无效响应处理。</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26.5如果响应文件实质上没有响应谈判文件的要求，谈判小组将予以拒绝，供应商不得通过修改或撤销不符合要求的偏离或保留而使其成为实质性响应的文件。</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bookmarkStart w:id="131" w:name="_Toc513029234"/>
      <w:r/>
      <w:bookmarkStart w:id="132" w:name="_Toc20823306"/>
      <w:r/>
      <w:bookmarkStart w:id="133" w:name="_Toc16938550"/>
      <w:r>
        <w:rPr>
          <w:rFonts w:hint="eastAsia" w:ascii="宋体" w:hAnsi="宋体" w:eastAsia="宋体" w:cs="宋体"/>
          <w:color w:val="auto"/>
          <w:sz w:val="24"/>
          <w:szCs w:val="24"/>
          <w:highlight w:val="none"/>
          <w:shd w:val="clear" w:color="auto" w:fill="auto"/>
          <w:lang w:val="en-US" w:eastAsia="zh-CN"/>
        </w:rPr>
        <w:t xml:space="preserve">26.6供应商在项目评审全过程中应保持通信畅通，并安排专人与采购人及谈判小组联系。</w:t>
      </w:r>
      <w:bookmarkEnd w:id="131"/>
      <w:r/>
      <w:bookmarkEnd w:id="132"/>
      <w:r/>
      <w:bookmarkEnd w:id="133"/>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27、谈判程序及成交原则</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27.1谈判程序</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27.2成交原则</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27.2.1谈判小组将从质量和服务均能满足</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文件实质性响应要求的供应商中，按照最后报价由低到高顺序推荐3名成交候选供应商，并编写评审报告。</w:t>
      </w:r>
      <w:r>
        <w:rPr>
          <w:rFonts w:hint="eastAsia" w:ascii="宋体" w:hAnsi="宋体" w:eastAsia="宋体" w:cs="宋体"/>
          <w:color w:val="auto"/>
          <w:sz w:val="24"/>
          <w:szCs w:val="24"/>
          <w:highlight w:val="none"/>
          <w:shd w:val="clear" w:color="auto" w:fill="auto"/>
          <w:lang w:val="en-US" w:eastAsia="zh-CN"/>
        </w:rPr>
        <w:t xml:space="preserve">采购人从评审报告提出的成交候选供应商中，根据质量和服务均能满足谈判文件实质性响应要求且最后报价最低的原则确定成交供应商。</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27.2.3采购人确定成交供应商后，</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val="en-US" w:eastAsia="zh-CN"/>
        </w:rPr>
        <w:t xml:space="preserve">人将在“中国政府采购网”“江苏政府采购网”“盐城市政府采购网”发布成交结果公告，公告期限为1个工作日。</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27.3采购活动终止的情况</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出现下列情形之一的，本次竞争性谈判采购活动将被终止：</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27.3.1因情况变化，不再符合规定的竞争性谈判采购方式适用情形的。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27.3.2出现影响采购公正的违法、违规行为的。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27.3.3在谈判过程中符合要求的供应商或者最后报价未超过采购预算的供应商不足3家的。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27.3.4在苏采云系统规定时间内成功解密电子响应文件的供应商不足3家的。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28、成交供应商被取消成交资格情形</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若有充分证据证明，成交供应商出现下列情况之一的，一经查实，将被取消成交资格：</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28.1提供虚假材料谋取成交的。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28.2与评审专家、采购人、其他供应商或者采购代理工作人员恶意串通的。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28.3向评审专家、采购人或采购代理工作人员行贿或者提供其他不正当利益的。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28.4恶意竞争，最后报价明显低于其自身合理成本且又无法提供证明的。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28.5不满足本谈判文件规定的实质性要求，但在评审过程中又未被谈判小</w:t>
      </w:r>
      <w:r>
        <w:rPr>
          <w:rFonts w:hint="eastAsia" w:ascii="宋体" w:hAnsi="宋体" w:eastAsia="宋体" w:cs="宋体"/>
          <w:color w:val="auto"/>
          <w:sz w:val="24"/>
          <w:szCs w:val="24"/>
          <w:highlight w:val="none"/>
          <w:shd w:val="clear" w:color="auto" w:fill="auto"/>
        </w:rPr>
        <w:t xml:space="preserve">组发现的。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28.6成交后无正当理由拒不与采购人签订政府采购合同或者未按照谈判文件确定的事项签订政府采购合同的。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28.7将政府采购合同转包的。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34" w:name="_Toc200451960"/>
      <w:r>
        <w:rPr>
          <w:rFonts w:hint="eastAsia" w:ascii="宋体" w:hAnsi="宋体" w:eastAsia="宋体" w:cs="宋体"/>
          <w:color w:val="auto"/>
          <w:sz w:val="24"/>
          <w:szCs w:val="24"/>
          <w:highlight w:val="none"/>
          <w:shd w:val="clear" w:color="auto" w:fill="auto"/>
        </w:rPr>
        <w:t xml:space="preserve">29、质疑处理</w:t>
      </w:r>
      <w:bookmarkEnd w:id="134"/>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29.1提出质疑的供应商应当是参与所质疑项目采购活动的供应商。潜在供应商依法获取其可质疑的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文件的，可以对</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29.2供应商认为</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过程和</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结果使自己的权益受到损害的，可以在知道或应知其权益受到损害之日起七个工作日内，以书面形式根据下述29.4条款的规定向采购人</w:t>
      </w:r>
      <w:r>
        <w:rPr>
          <w:rFonts w:hint="eastAsia" w:ascii="宋体" w:hAnsi="宋体" w:eastAsia="宋体" w:cs="宋体"/>
          <w:color w:val="auto"/>
          <w:sz w:val="24"/>
          <w:szCs w:val="24"/>
          <w:highlight w:val="none"/>
          <w:shd w:val="clear" w:color="auto" w:fill="auto"/>
          <w:lang w:val="en-US" w:eastAsia="zh-CN"/>
        </w:rPr>
        <w:t xml:space="preserve">或采购代理</w:t>
      </w:r>
      <w:r>
        <w:rPr>
          <w:rFonts w:hint="eastAsia" w:ascii="宋体" w:hAnsi="宋体" w:eastAsia="宋体" w:cs="宋体"/>
          <w:color w:val="auto"/>
          <w:sz w:val="24"/>
          <w:szCs w:val="24"/>
          <w:highlight w:val="none"/>
          <w:shd w:val="clear" w:color="auto" w:fill="auto"/>
        </w:rPr>
        <w:t xml:space="preserve">提出质疑。上述应知其权益受到损害之日，是指：</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29.2.1对可以质疑的</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文件提出质疑的，为收到</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文件之日或者</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文件公告期限届满之日。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29.2.2对</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过程提出质疑的，为各采购程序环节结束之日。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29.2.3对成交结果提出质疑的，为成交结果公告期限届满之日。</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29.4供应商（含潜在供应商）对采购方式、采购需求、供应商资格条件、评审方法与评审标准、合同文本的询问、质疑请向采购人提出，由采购人负责答复。</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采购人及采购代理只接收以纸质原件形式送达的质疑,采购人和采购代理不接受未填写快递运单的快件。质疑接收部门为东台市土地储备中心，联系地址：东台市广场路8号，联系电话：</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0515-85285001</w:t>
      </w:r>
      <w:r>
        <w:rPr>
          <w:rFonts w:hint="eastAsia" w:ascii="宋体" w:hAnsi="宋体" w:eastAsia="宋体" w:cs="宋体"/>
          <w:color w:val="auto"/>
          <w:sz w:val="24"/>
          <w:szCs w:val="24"/>
          <w:highlight w:val="none"/>
          <w:shd w:val="clear" w:color="auto" w:fill="auto"/>
          <w:lang w:val="en-US" w:eastAsia="zh-CN"/>
        </w:rPr>
        <w:t xml:space="preserve">。</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29.5以下情形的质疑不予受理</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29.5.1内容不符合《政府采购质疑和投诉办法》第十二条规定的质疑。</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29.5.2超出政府采购法定期限的质疑。</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29.5.3以传真、电子邮件等方式递交的非原件形式的质疑。</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29.5.4未参加谈判活动的供应商或在谈判活动中自身权益未受到损害的供应商所提出的质疑。</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29.5.5供应商组成联合体参加谈判，联合体中任何一方或多方未按要求签字、盖章、加盖公章的质疑。</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56"/>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35" w:name="_Toc120614220"/>
      <w:r/>
      <w:bookmarkStart w:id="136" w:name="_Toc513029236"/>
      <w:r/>
      <w:bookmarkStart w:id="137" w:name="_Toc16938552"/>
      <w:r/>
      <w:bookmarkStart w:id="138" w:name="_Toc20823308"/>
      <w:r>
        <w:rPr>
          <w:rFonts w:hint="eastAsia" w:ascii="宋体" w:hAnsi="宋体" w:eastAsia="宋体" w:cs="宋体"/>
          <w:b/>
          <w:color w:val="auto"/>
          <w:sz w:val="24"/>
          <w:szCs w:val="24"/>
          <w:highlight w:val="none"/>
          <w:shd w:val="clear" w:color="auto" w:fill="auto"/>
        </w:rPr>
        <w:t xml:space="preserve">七、授予合同</w:t>
      </w:r>
      <w:bookmarkEnd w:id="135"/>
      <w:r/>
      <w:bookmarkEnd w:id="136"/>
      <w:r/>
      <w:bookmarkEnd w:id="137"/>
      <w:r/>
      <w:bookmarkEnd w:id="138"/>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bookmarkStart w:id="139" w:name="_Toc513029237"/>
      <w:r/>
      <w:bookmarkStart w:id="140" w:name="_Toc20823309"/>
      <w:r/>
      <w:bookmarkStart w:id="141" w:name="_Toc16938553"/>
      <w:r>
        <w:rPr>
          <w:rFonts w:hint="eastAsia" w:ascii="宋体" w:hAnsi="宋体" w:eastAsia="宋体" w:cs="宋体"/>
          <w:color w:val="auto"/>
          <w:sz w:val="24"/>
          <w:szCs w:val="24"/>
          <w:highlight w:val="none"/>
          <w:shd w:val="clear" w:color="auto" w:fill="auto"/>
        </w:rPr>
        <w:t xml:space="preserve">31.签订合同</w:t>
      </w:r>
      <w:bookmarkEnd w:id="139"/>
      <w:r/>
      <w:bookmarkEnd w:id="140"/>
      <w:r/>
      <w:bookmarkEnd w:id="141"/>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31.l成交供应商应当在成交通知书发出之日起三十日内，按照谈判文件确定的事项与采购人签订政府采购合同。</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31.2谈判文件、成交供应商的响应文件及谈判过程中有关澄清、承诺文件均应作为合同附件。</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56"/>
        <w:numPr>
          <w:ilvl w:val="0"/>
          <w:numId w:val="0"/>
        </w:num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33.2进口产品</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33.3中小企业、监狱企业及残疾人福利性单位</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w:t>
      </w:r>
      <w:r>
        <w:rPr>
          <w:rFonts w:hint="eastAsia" w:ascii="宋体" w:hAnsi="宋体" w:eastAsia="宋体" w:cs="宋体"/>
          <w:color w:val="auto"/>
          <w:sz w:val="24"/>
          <w:szCs w:val="24"/>
          <w:highlight w:val="none"/>
          <w:shd w:val="clear" w:color="auto" w:fill="auto"/>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.3.6.1安置的残疾人占本单位在职职工人数的比例不低于25%（含25%），并且安置的残疾人人数不少于10人（含10人）；</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w:t>
      </w:r>
      <w:r>
        <w:rPr>
          <w:rFonts w:hint="eastAsia" w:ascii="宋体" w:hAnsi="宋体" w:eastAsia="宋体" w:cs="宋体"/>
          <w:color w:val="auto"/>
          <w:sz w:val="24"/>
          <w:szCs w:val="24"/>
          <w:highlight w:val="none"/>
          <w:shd w:val="clear" w:color="auto" w:fill="auto"/>
          <w:lang w:val="en-US" w:eastAsia="zh-CN"/>
        </w:rPr>
        <w:t xml:space="preserve">谈判公告</w:t>
      </w:r>
      <w:r>
        <w:rPr>
          <w:rFonts w:hint="eastAsia" w:ascii="宋体" w:hAnsi="宋体" w:eastAsia="宋体" w:cs="宋体"/>
          <w:color w:val="auto"/>
          <w:sz w:val="24"/>
          <w:szCs w:val="24"/>
          <w:highlight w:val="none"/>
          <w:shd w:val="clear" w:color="auto" w:fill="auto"/>
        </w:rPr>
        <w:t xml:space="preserve">》。</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33.4政府采购节能产品、环境标志产品</w:t>
      </w:r>
      <w:r/>
    </w:p>
    <w:p>
      <w:pPr>
        <w:pStyle w:val="856"/>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33.5绿色包装</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33.6政府采购创新产品</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33.7绿色数据中心政策</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shd w:val="clear" w:color="auto" w:fill="auto"/>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谈判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33.8履约保证金政策</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确需收取履约保证金的，履约保证金的缴纳形式：</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如以履约保函（保险）形式缴纳履约保证金，供应商可通过政府采购电子履约保函（保险）平台（www.jsdzbh.com）在线申请履约保函（保险）。</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34.预付款制度</w:t>
      </w:r>
      <w:r/>
    </w:p>
    <w:p>
      <w:pPr>
        <w:ind w:left="0" w:firstLine="480"/>
        <w:pageBreakBefore w:val="0"/>
        <w:spacing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rPr>
        <w:t xml:space="preserve">30</w:t>
      </w:r>
      <w:r>
        <w:rPr>
          <w:rFonts w:hint="eastAsia" w:ascii="宋体" w:hAnsi="宋体" w:eastAsia="宋体" w:cs="宋体"/>
          <w:color w:val="auto"/>
          <w:sz w:val="24"/>
          <w:szCs w:val="24"/>
          <w:highlight w:val="none"/>
          <w:shd w:val="clear" w:color="auto" w:fill="auto"/>
          <w:lang w:val="en-US" w:eastAsia="zh-CN"/>
        </w:rPr>
        <w:t xml:space="preserve">%（原则上不低于合同金额的30%）。在签订合同时，中标、成交供应商明确书面表示无需预付款或者主动要求降低预付款比例的，采购人可就预付款比例作相应调整。</w:t>
      </w:r>
      <w:r/>
    </w:p>
    <w:p>
      <w:pPr>
        <w:pStyle w:val="863"/>
        <w:ind w:left="0" w:firstLine="560"/>
        <w:pageBreakBefore w:val="0"/>
        <w:spacing w:after="0"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r>
      <w:r/>
    </w:p>
    <w:p>
      <w:pPr>
        <w:pStyle w:val="856"/>
        <w:ind w:firstLine="2640"/>
        <w:jc w:val="both"/>
        <w:keepNext/>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2640"/>
        <w:jc w:val="both"/>
        <w:keepNext/>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2640"/>
        <w:jc w:val="both"/>
        <w:keepNext/>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2640"/>
        <w:jc w:val="both"/>
        <w:keepNext/>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r>
      <w:r/>
    </w:p>
    <w:p>
      <w:pPr>
        <w:shd w:val="ni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shd w:val="clear" w:color="auto" w:fill="auto"/>
        </w:rPr>
        <w:br w:type="page" w:clear="all"/>
      </w:r>
      <w:r>
        <w:rPr>
          <w:rFonts w:hint="eastAsia" w:ascii="宋体" w:hAnsi="宋体" w:eastAsia="宋体" w:cs="宋体"/>
          <w:color w:val="auto"/>
          <w:sz w:val="44"/>
          <w:szCs w:val="44"/>
          <w:highlight w:val="none"/>
          <w:shd w:val="clear" w:color="auto" w:fill="auto"/>
        </w:rPr>
      </w:r>
    </w:p>
    <w:p>
      <w:pPr>
        <w:rPr>
          <w:rFonts w:hint="eastAsia" w:ascii="宋体" w:hAnsi="宋体" w:eastAsia="宋体" w:cs="宋体"/>
          <w:color w:val="auto"/>
          <w:sz w:val="44"/>
          <w:szCs w:val="44"/>
          <w:highlight w:val="none"/>
          <w:shd w:val="clear" w:color="auto" w:fill="auto"/>
        </w:rPr>
      </w:pPr>
      <w:r>
        <w:rPr>
          <w:rFonts w:hint="eastAsia" w:ascii="宋体" w:hAnsi="宋体" w:eastAsia="宋体" w:cs="宋体"/>
          <w:color w:val="auto"/>
          <w:sz w:val="44"/>
          <w:szCs w:val="44"/>
          <w:highlight w:val="none"/>
          <w:shd w:val="clear" w:color="auto" w:fill="auto"/>
        </w:rPr>
      </w:r>
      <w:r/>
    </w:p>
    <w:p>
      <w:pPr>
        <w:jc w:val="center"/>
        <w:rPr>
          <w:rFonts w:hint="eastAsia" w:ascii="宋体" w:hAnsi="宋体" w:eastAsia="宋体" w:cs="宋体"/>
          <w:b/>
          <w:bCs/>
          <w:color w:val="auto"/>
          <w:highlight w:val="none"/>
          <w:shd w:val="clear" w:color="auto" w:fill="auto"/>
        </w:rPr>
      </w:pPr>
      <w:r>
        <w:rPr>
          <w:rFonts w:hint="eastAsia" w:ascii="宋体" w:hAnsi="宋体" w:eastAsia="宋体" w:cs="宋体"/>
          <w:b/>
          <w:bCs/>
          <w:color w:val="auto"/>
          <w:sz w:val="44"/>
          <w:szCs w:val="44"/>
          <w:highlight w:val="none"/>
          <w:shd w:val="clear" w:color="auto" w:fill="auto"/>
        </w:rPr>
        <w:t xml:space="preserve">第三章  合同文本</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bookmarkStart w:id="142" w:name="_Toc16938559"/>
      <w:r/>
      <w:bookmarkStart w:id="143" w:name="_Toc513029243"/>
      <w:r/>
      <w:bookmarkStart w:id="144" w:name="_Toc20823315"/>
      <w:r>
        <w:rPr>
          <w:rFonts w:hint="eastAsia" w:ascii="宋体" w:hAnsi="宋体" w:eastAsia="宋体" w:cs="宋体"/>
          <w:color w:val="auto"/>
          <w:highlight w:val="none"/>
          <w:shd w:val="clear" w:color="auto" w:fill="auto"/>
        </w:rPr>
        <w:t xml:space="preserve">以下为成交后</w:t>
      </w:r>
      <w:r>
        <w:rPr>
          <w:rFonts w:hint="eastAsia" w:ascii="宋体" w:hAnsi="宋体" w:eastAsia="宋体" w:cs="宋体"/>
          <w:color w:val="auto"/>
          <w:highlight w:val="none"/>
          <w:shd w:val="clear" w:color="auto" w:fill="auto"/>
          <w:lang w:eastAsia="zh-CN"/>
        </w:rPr>
        <w:t xml:space="preserve">签订</w:t>
      </w:r>
      <w:r>
        <w:rPr>
          <w:rFonts w:hint="eastAsia" w:ascii="宋体" w:hAnsi="宋体" w:eastAsia="宋体" w:cs="宋体"/>
          <w:color w:val="auto"/>
          <w:highlight w:val="none"/>
          <w:shd w:val="clear" w:color="auto" w:fill="auto"/>
        </w:rPr>
        <w:t xml:space="preserve">本项目合同的通用条款，成交供应商不得提出实质性的修改。</w:t>
      </w:r>
      <w:bookmarkEnd w:id="142"/>
      <w:r/>
      <w:bookmarkEnd w:id="143"/>
      <w:r/>
      <w:bookmarkEnd w:id="144"/>
      <w:r/>
      <w:r/>
    </w:p>
    <w:p>
      <w:pPr>
        <w:pStyle w:val="856"/>
        <w:jc w:val="center"/>
        <w:spacing w:before="145" w:beforeAutospacing="0" w:after="145"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145" w:beforeAutospacing="0" w:after="145"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0"/>
          <w:szCs w:val="30"/>
          <w:highlight w:val="none"/>
          <w:shd w:val="clear" w:color="auto" w:fill="auto"/>
        </w:rPr>
        <w:t xml:space="preserve">盐城市政府采购合同（合同编号）</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项目名称：</w:t>
      </w:r>
      <w:r>
        <w:rPr>
          <w:rFonts w:hint="eastAsia" w:ascii="宋体" w:hAnsi="宋体" w:eastAsia="宋体" w:cs="宋体"/>
          <w:color w:val="auto"/>
          <w:sz w:val="24"/>
          <w:szCs w:val="24"/>
          <w:highlight w:val="none"/>
          <w:u w:val="single"/>
          <w:lang w:val="en-US" w:eastAsia="zh-CN"/>
        </w:rPr>
        <w:t xml:space="preserve">东台市沿海湿地与岸线生态环境综合治理服务项目（一期）</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            </w:t>
      </w:r>
      <w:r/>
    </w:p>
    <w:p>
      <w:pPr>
        <w:pStyle w:val="856"/>
        <w:ind w:left="0"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highlight w:val="none"/>
          <w:shd w:val="clear" w:color="auto" w:fill="auto"/>
        </w:rPr>
        <w:t xml:space="preserve">项目编号：</w:t>
      </w:r>
      <w:r>
        <w:rPr>
          <w:rFonts w:hint="eastAsia" w:ascii="宋体" w:hAnsi="宋体" w:eastAsia="宋体" w:cs="宋体"/>
          <w:color w:val="auto"/>
          <w:sz w:val="24"/>
          <w:szCs w:val="24"/>
          <w:highlight w:val="none"/>
          <w:u w:val="single"/>
          <w:lang w:val="en-US" w:eastAsia="zh-CN"/>
        </w:rPr>
        <w:t xml:space="preserve">JSZC-320981-SQGC-T2025-0056</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甲方：（买方）</w:t>
      </w:r>
      <w:r>
        <w:rPr>
          <w:rFonts w:hint="eastAsia" w:ascii="宋体" w:hAnsi="宋体" w:eastAsia="宋体" w:cs="宋体"/>
          <w:color w:val="auto"/>
          <w:sz w:val="24"/>
          <w:szCs w:val="24"/>
          <w:highlight w:val="none"/>
          <w:u w:val="single"/>
          <w:lang w:val="en-US" w:eastAsia="zh-CN"/>
        </w:rPr>
        <w:t xml:space="preserve">东台市土地储备中心</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乙方：（卖方）</w:t>
      </w:r>
      <w:r>
        <w:rPr>
          <w:rFonts w:hint="eastAsia" w:ascii="宋体" w:hAnsi="宋体" w:eastAsia="宋体" w:cs="宋体"/>
          <w:color w:val="auto"/>
          <w:highlight w:val="none"/>
          <w:u w:val="single"/>
          <w:shd w:val="clear" w:color="auto" w:fill="auto"/>
          <w:lang w:eastAsia="zh-CN"/>
        </w:rPr>
        <w:t xml:space="preserve">【】</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甲、乙双方根据</w:t>
      </w:r>
      <w:r>
        <w:rPr>
          <w:rFonts w:hint="eastAsia" w:ascii="宋体" w:hAnsi="宋体" w:eastAsia="宋体" w:cs="宋体"/>
          <w:color w:val="auto"/>
          <w:sz w:val="24"/>
          <w:szCs w:val="24"/>
          <w:highlight w:val="none"/>
          <w:u w:val="single"/>
          <w:lang w:val="en-US" w:eastAsia="zh-CN"/>
        </w:rPr>
        <w:t xml:space="preserve">东台市沿海湿地与岸线生态环境综合治理服务项目（一期）</w:t>
      </w:r>
      <w:r>
        <w:rPr>
          <w:rFonts w:hint="eastAsia" w:ascii="宋体" w:hAnsi="宋体" w:eastAsia="宋体" w:cs="宋体"/>
          <w:color w:val="auto"/>
          <w:highlight w:val="none"/>
          <w:shd w:val="clear" w:color="auto" w:fill="auto"/>
        </w:rPr>
        <w:t xml:space="preserve">项目竞争性谈判的结果，签署本合同。</w:t>
      </w:r>
      <w:r/>
    </w:p>
    <w:p>
      <w:pPr>
        <w:pStyle w:val="856"/>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一、合同内容</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1.1标的名称：东台市沿海湿地与岸线生态环境综合治理服务项目（一期）</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1.2标的质量：详见采购需求及服务承诺等。</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1.3标的数量（规模）：具体以采购需求、清单、服务承诺为准。</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1.4履行时间（期限）：自合同生效之日起12个月内完成。</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1.5履行地点：东台市境内。</w:t>
      </w:r>
      <w:r/>
    </w:p>
    <w:p>
      <w:pPr>
        <w:pStyle w:val="856"/>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二、合同金额</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w:t>
      </w:r>
      <w:r>
        <w:rPr>
          <w:rFonts w:hint="eastAsia" w:ascii="宋体" w:hAnsi="宋体" w:eastAsia="宋体" w:cs="宋体"/>
          <w:color w:val="auto"/>
          <w:sz w:val="24"/>
          <w:szCs w:val="24"/>
          <w:highlight w:val="none"/>
          <w:lang w:val="en-US" w:eastAsia="zh-CN"/>
        </w:rPr>
        <w:t xml:space="preserve">人民币</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rPr>
        <w:t xml:space="preserve">。</w:t>
      </w:r>
      <w:r/>
    </w:p>
    <w:p>
      <w:pPr>
        <w:pStyle w:val="856"/>
        <w:numPr>
          <w:ilvl w:val="0"/>
          <w:numId w:val="0"/>
        </w:numPr>
        <w:ind w:left="0" w:firstLine="482"/>
        <w:jc w:val="both"/>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rPr>
      </w:pPr>
      <w:r/>
      <w:bookmarkStart w:id="145" w:name="_Toc479757211"/>
      <w:r/>
      <w:bookmarkStart w:id="146" w:name="_Toc120614244"/>
      <w:r/>
      <w:bookmarkStart w:id="147" w:name="_Toc462564139"/>
      <w:r/>
      <w:bookmarkStart w:id="148" w:name="_Toc20823346"/>
      <w:r/>
      <w:bookmarkStart w:id="149" w:name="_Toc16938590"/>
      <w:r/>
      <w:bookmarkStart w:id="150" w:name="_Hlt16619350"/>
      <w:r/>
      <w:bookmarkStart w:id="151" w:name="_Hlt16619369"/>
      <w:r>
        <w:rPr>
          <w:rFonts w:hint="eastAsia" w:ascii="宋体" w:hAnsi="宋体" w:eastAsia="宋体" w:cs="宋体"/>
          <w:b/>
          <w:color w:val="auto"/>
          <w:sz w:val="24"/>
          <w:szCs w:val="24"/>
          <w:lang w:val="en-US" w:eastAsia="zh-CN" w:bidi="ar-SA"/>
        </w:rPr>
        <w:t xml:space="preserve">三、</w:t>
      </w:r>
      <w:r>
        <w:rPr>
          <w:rFonts w:hint="eastAsia" w:ascii="宋体" w:hAnsi="宋体" w:eastAsia="宋体" w:cs="宋体"/>
          <w:b/>
          <w:color w:val="auto"/>
          <w:sz w:val="24"/>
          <w:szCs w:val="24"/>
          <w:highlight w:val="none"/>
        </w:rPr>
        <w:t xml:space="preserve">技术资料</w:t>
      </w:r>
      <w:r/>
    </w:p>
    <w:p>
      <w:pPr>
        <w:pStyle w:val="856"/>
        <w:numPr>
          <w:ilvl w:val="0"/>
          <w:numId w:val="0"/>
        </w:numPr>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文件规定的时间向甲方提供服务（包含与服务相关的货物）的有关技术资料。</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6"/>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4"/>
          <w:szCs w:val="24"/>
          <w:highlight w:val="none"/>
          <w:lang w:val="en-US" w:eastAsia="zh-CN"/>
        </w:rPr>
        <w:t xml:space="preserve">识产权的起诉。一旦出现侵权，由乙方负全部责任。</w:t>
      </w:r>
      <w:r/>
    </w:p>
    <w:p>
      <w:pPr>
        <w:pStyle w:val="856"/>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856"/>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本项目不收取履约保证金。</w:t>
      </w:r>
      <w:r/>
    </w:p>
    <w:p>
      <w:pPr>
        <w:pStyle w:val="856"/>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856"/>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8.1合同款项的支付方式及进度安排</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8.1.1预付款支付时间：合同签订后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采购人收到</w:t>
      </w:r>
      <w:r>
        <w:rPr>
          <w:rFonts w:hint="eastAsia" w:ascii="宋体" w:hAnsi="宋体" w:eastAsia="宋体" w:cs="宋体"/>
          <w:color w:val="auto"/>
          <w:sz w:val="24"/>
          <w:szCs w:val="24"/>
          <w:highlight w:val="none"/>
          <w:u w:val="single"/>
          <w:lang w:eastAsia="zh-CN"/>
        </w:rPr>
        <w:t xml:space="preserve">预付款</w:t>
      </w:r>
      <w:r>
        <w:rPr>
          <w:rFonts w:hint="eastAsia" w:ascii="宋体" w:hAnsi="宋体" w:eastAsia="宋体" w:cs="宋体"/>
          <w:color w:val="auto"/>
          <w:sz w:val="24"/>
          <w:szCs w:val="24"/>
          <w:highlight w:val="none"/>
          <w:u w:val="single"/>
        </w:rPr>
        <w:t xml:space="preserve">发票后10个工作日内，预付款支付比例：合同金额的</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%。乙方明确表示无需预付款或者主动要求降低预付款比例的由双方另行商定。</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8.1.2乙方完成</w:t>
      </w:r>
      <w:r>
        <w:rPr>
          <w:rFonts w:hint="eastAsia" w:ascii="宋体" w:hAnsi="宋体" w:eastAsia="宋体" w:cs="宋体"/>
          <w:color w:val="auto"/>
          <w:sz w:val="24"/>
          <w:szCs w:val="24"/>
          <w:highlight w:val="none"/>
          <w:u w:val="single"/>
          <w:lang w:val="en-US" w:eastAsia="zh-CN"/>
        </w:rPr>
        <w:t xml:space="preserve">合同范围内所有内容</w:t>
      </w:r>
      <w:r>
        <w:rPr>
          <w:rFonts w:hint="eastAsia" w:ascii="宋体" w:hAnsi="宋体" w:eastAsia="宋体" w:cs="宋体"/>
          <w:color w:val="auto"/>
          <w:sz w:val="24"/>
          <w:szCs w:val="24"/>
          <w:highlight w:val="none"/>
          <w:u w:val="single"/>
        </w:rPr>
        <w:t xml:space="preserve">，经甲方审查验收认可后，202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年</w:t>
      </w:r>
      <w:r>
        <w:rPr>
          <w:rFonts w:hint="eastAsia" w:ascii="宋体" w:hAnsi="宋体" w:eastAsia="宋体" w:cs="宋体"/>
          <w:color w:val="auto"/>
          <w:sz w:val="24"/>
          <w:szCs w:val="24"/>
          <w:highlight w:val="none"/>
          <w:u w:val="single"/>
        </w:rPr>
        <w:t xml:space="preserve">末</w:t>
      </w:r>
      <w:r>
        <w:rPr>
          <w:rFonts w:hint="eastAsia" w:ascii="宋体" w:hAnsi="宋体" w:eastAsia="宋体" w:cs="宋体"/>
          <w:color w:val="auto"/>
          <w:sz w:val="24"/>
          <w:szCs w:val="24"/>
          <w:highlight w:val="none"/>
          <w:u w:val="single"/>
          <w:lang w:val="en-US" w:eastAsia="zh-CN"/>
        </w:rPr>
        <w:t xml:space="preserve">甲方收到发票后10个工作日内</w:t>
      </w:r>
      <w:r>
        <w:rPr>
          <w:rFonts w:hint="eastAsia" w:ascii="宋体" w:hAnsi="宋体" w:eastAsia="宋体" w:cs="宋体"/>
          <w:color w:val="auto"/>
          <w:sz w:val="24"/>
          <w:szCs w:val="24"/>
          <w:highlight w:val="none"/>
          <w:u w:val="single"/>
        </w:rPr>
        <w:t xml:space="preserve">支付</w:t>
      </w:r>
      <w:r>
        <w:rPr>
          <w:rFonts w:hint="eastAsia" w:ascii="宋体" w:hAnsi="宋体" w:eastAsia="宋体" w:cs="宋体"/>
          <w:color w:val="auto"/>
          <w:sz w:val="24"/>
          <w:szCs w:val="24"/>
          <w:highlight w:val="none"/>
          <w:u w:val="single"/>
          <w:lang w:val="en-US" w:eastAsia="zh-CN"/>
        </w:rPr>
        <w:t xml:space="preserve">至</w:t>
      </w:r>
      <w:r>
        <w:rPr>
          <w:rFonts w:hint="eastAsia" w:ascii="宋体" w:hAnsi="宋体" w:eastAsia="宋体" w:cs="宋体"/>
          <w:color w:val="auto"/>
          <w:sz w:val="24"/>
          <w:szCs w:val="24"/>
          <w:highlight w:val="none"/>
          <w:u w:val="single"/>
        </w:rPr>
        <w:t xml:space="preserve">合同总金额的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0%；202</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年年末</w:t>
      </w:r>
      <w:r>
        <w:rPr>
          <w:rFonts w:hint="eastAsia" w:ascii="宋体" w:hAnsi="宋体" w:eastAsia="宋体" w:cs="宋体"/>
          <w:color w:val="auto"/>
          <w:sz w:val="24"/>
          <w:szCs w:val="24"/>
          <w:highlight w:val="none"/>
          <w:u w:val="single"/>
          <w:lang w:val="en-US" w:eastAsia="zh-CN"/>
        </w:rPr>
        <w:t xml:space="preserve">甲方收到发票后10个工作日内</w:t>
      </w:r>
      <w:r>
        <w:rPr>
          <w:rFonts w:hint="eastAsia" w:ascii="宋体" w:hAnsi="宋体" w:eastAsia="宋体" w:cs="宋体"/>
          <w:color w:val="auto"/>
          <w:sz w:val="24"/>
          <w:szCs w:val="24"/>
          <w:highlight w:val="none"/>
          <w:u w:val="single"/>
        </w:rPr>
        <w:t xml:space="preserve">支付</w:t>
      </w:r>
      <w:r>
        <w:rPr>
          <w:rFonts w:hint="eastAsia" w:ascii="宋体" w:hAnsi="宋体" w:eastAsia="宋体" w:cs="宋体"/>
          <w:color w:val="auto"/>
          <w:sz w:val="24"/>
          <w:szCs w:val="24"/>
          <w:highlight w:val="none"/>
          <w:u w:val="single"/>
          <w:lang w:val="en-US" w:eastAsia="zh-CN"/>
        </w:rPr>
        <w:t xml:space="preserve">至</w:t>
      </w:r>
      <w:r>
        <w:rPr>
          <w:rFonts w:hint="eastAsia" w:ascii="宋体" w:hAnsi="宋体" w:eastAsia="宋体" w:cs="宋体"/>
          <w:color w:val="auto"/>
          <w:sz w:val="24"/>
          <w:szCs w:val="24"/>
          <w:highlight w:val="none"/>
          <w:u w:val="single"/>
        </w:rPr>
        <w:t xml:space="preserve">合同总金额的</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0%；202</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年年末</w:t>
      </w:r>
      <w:r>
        <w:rPr>
          <w:rFonts w:hint="eastAsia" w:ascii="宋体" w:hAnsi="宋体" w:eastAsia="宋体" w:cs="宋体"/>
          <w:color w:val="auto"/>
          <w:sz w:val="24"/>
          <w:szCs w:val="24"/>
          <w:highlight w:val="none"/>
          <w:u w:val="single"/>
          <w:lang w:val="en-US" w:eastAsia="zh-CN"/>
        </w:rPr>
        <w:t xml:space="preserve">甲方收到发票后10个工作日内一次性支付余款</w:t>
      </w:r>
      <w:r>
        <w:rPr>
          <w:rFonts w:hint="eastAsia" w:ascii="宋体" w:hAnsi="宋体" w:eastAsia="宋体" w:cs="宋体"/>
          <w:color w:val="auto"/>
          <w:sz w:val="24"/>
          <w:szCs w:val="24"/>
          <w:highlight w:val="none"/>
          <w:u w:val="single"/>
        </w:rPr>
        <w:t xml:space="preserve">。</w:t>
      </w:r>
      <w:r/>
    </w:p>
    <w:p>
      <w:pPr>
        <w:pStyle w:val="856"/>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856"/>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十、违约责任</w:t>
      </w:r>
      <w:r/>
    </w:p>
    <w:p>
      <w:pPr>
        <w:pStyle w:val="856"/>
        <w:ind w:left="0"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乙方须按合同约定及甲方要求及时提供相关服务，如乙方拖延开展的，自甲方通知（包含书面送达、邮箱、传真、电话、微信、QQ、短信等形式）开始服务之日起，每拖延一日向甲方支付合同总价1%的违约金；超过七日的，甲方有权单方面解除合同，同时乙方须承担由此给甲方造成的所有损失。</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10.2乙方须按甲方要求的节点提供相应服务，如</w:t>
      </w:r>
      <w:r>
        <w:rPr>
          <w:rFonts w:hint="eastAsia" w:ascii="宋体" w:hAnsi="宋体" w:eastAsia="宋体" w:cs="宋体"/>
          <w:color w:val="auto"/>
          <w:sz w:val="24"/>
          <w:szCs w:val="24"/>
          <w:highlight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lang w:val="zh-CN" w:eastAsia="zh-CN" w:bidi="ar-SA"/>
        </w:rPr>
        <w:t xml:space="preserve">5%</w:t>
      </w:r>
      <w:r>
        <w:rPr>
          <w:rFonts w:hint="eastAsia" w:ascii="宋体" w:hAnsi="宋体" w:eastAsia="宋体" w:cs="宋体"/>
          <w:color w:val="auto"/>
          <w:sz w:val="24"/>
          <w:szCs w:val="24"/>
          <w:highlight w:val="none"/>
        </w:rPr>
        <w:t xml:space="preserve">的违约金，如造成甲方损失超过违约金的，超出部分由乙方继续承担赔偿责任。</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乙方所提供服务的标准不符合合同规定及</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文件规定标准的，甲方有权拒绝接受服务，并可单方面解除合同。</w:t>
      </w:r>
      <w:r/>
    </w:p>
    <w:p>
      <w:pPr>
        <w:pStyle w:val="856"/>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、不可抗力事件处理</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 期相同。</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pStyle w:val="856"/>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、解决争议的方法</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pStyle w:val="856"/>
        <w:ind w:left="0"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、合同生效及其</w:t>
      </w:r>
      <w:r>
        <w:rPr>
          <w:rFonts w:hint="eastAsia" w:ascii="宋体" w:hAnsi="宋体" w:eastAsia="宋体" w:cs="宋体"/>
          <w:b/>
          <w:color w:val="auto"/>
          <w:sz w:val="24"/>
          <w:szCs w:val="24"/>
          <w:highlight w:val="none"/>
          <w:lang w:eastAsia="zh-CN"/>
        </w:rPr>
        <w:t xml:space="preserve">他</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.2本合同未尽事宜，遵照《民法典》、《政府采购法》有关条文执行。</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.3本合同正本一式</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份，具有同等法律效力，甲方、乙方各执</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份。</w:t>
      </w:r>
      <w:r/>
    </w:p>
    <w:p>
      <w:pPr>
        <w:pStyle w:val="853"/>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3"/>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w:t>
      </w:r>
      <w:r/>
    </w:p>
    <w:p>
      <w:pPr>
        <w:pStyle w:val="853"/>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p>
    <w:p>
      <w:pPr>
        <w:pStyle w:val="853"/>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rPr>
        <w:br/>
      </w:r>
      <w:r/>
    </w:p>
    <w:p>
      <w:pPr>
        <w:pStyle w:val="856"/>
        <w:ind w:left="0" w:firstLine="480"/>
        <w:jc w:val="righ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56"/>
        <w:jc w:val="center"/>
        <w:keepLines w:val="0"/>
        <w:keepNext w:val="0"/>
        <w:pageBreakBefore w:val="0"/>
        <w:spacing w:beforeAutospacing="0" w:afterAutospacing="0" w:line="240" w:lineRule="auto"/>
        <w:widowControl w:val="off"/>
        <w:rPr>
          <w:rFonts w:hint="eastAsia" w:ascii="宋体" w:hAnsi="宋体" w:eastAsia="宋体" w:cs="宋体"/>
          <w:b/>
          <w:bCs/>
          <w:color w:val="auto"/>
          <w:highlight w:val="none"/>
          <w:shd w:val="clear" w:color="auto" w:fill="auto"/>
        </w:rPr>
      </w:pPr>
      <w:r>
        <w:rPr>
          <w:rFonts w:hint="eastAsia" w:ascii="宋体" w:hAnsi="宋体" w:eastAsia="宋体" w:cs="宋体"/>
          <w:b/>
          <w:bCs/>
          <w:color w:val="auto"/>
          <w:sz w:val="44"/>
          <w:szCs w:val="44"/>
          <w:highlight w:val="none"/>
          <w:shd w:val="clear" w:color="auto" w:fill="auto"/>
        </w:rPr>
        <w:t xml:space="preserve">第</w:t>
      </w:r>
      <w:bookmarkEnd w:id="145"/>
      <w:r>
        <w:rPr>
          <w:rFonts w:hint="eastAsia" w:ascii="宋体" w:hAnsi="宋体" w:eastAsia="宋体" w:cs="宋体"/>
          <w:b/>
          <w:bCs/>
          <w:color w:val="auto"/>
          <w:sz w:val="44"/>
          <w:szCs w:val="44"/>
          <w:highlight w:val="none"/>
          <w:shd w:val="clear" w:color="auto" w:fill="auto"/>
        </w:rPr>
        <w:t xml:space="preserve">四章 采购需求</w:t>
      </w:r>
      <w:bookmarkEnd w:id="146"/>
      <w:r/>
      <w:bookmarkEnd w:id="147"/>
      <w:r/>
      <w:bookmarkEnd w:id="148"/>
      <w:r/>
      <w:bookmarkEnd w:id="149"/>
      <w:r/>
      <w:bookmarkStart w:id="152" w:name="_Toc26554093"/>
      <w:r/>
      <w:bookmarkEnd w:id="152"/>
      <w:r/>
      <w:bookmarkStart w:id="153" w:name="_Toc49090575"/>
      <w:r/>
      <w:bookmarkEnd w:id="153"/>
      <w:r/>
      <w:r/>
    </w:p>
    <w:p>
      <w:pPr>
        <w:pStyle w:val="856"/>
        <w:ind w:left="0" w:firstLine="482"/>
        <w:jc w:val="both"/>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项目属性</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服务类项目。</w:t>
      </w:r>
      <w:r/>
    </w:p>
    <w:p>
      <w:pPr>
        <w:ind w:firstLine="482"/>
        <w:keepLines w:val="0"/>
        <w:keepNext w:val="0"/>
        <w:pageBreakBefore w:val="0"/>
        <w:spacing w:before="0" w:after="0" w:line="440" w:lineRule="exact"/>
        <w:widowControl w:val="off"/>
        <w:rPr>
          <w:rFonts w:hint="eastAsia" w:ascii="宋体" w:hAnsi="宋体" w:eastAsia="宋体" w:cs="宋体"/>
          <w:color w:val="auto"/>
          <w:sz w:val="24"/>
          <w:szCs w:val="24"/>
        </w:rPr>
        <w:outlineLvl w:val="9"/>
      </w:pPr>
      <w:r>
        <w:rPr>
          <w:rFonts w:hint="eastAsia" w:ascii="宋体" w:hAnsi="宋体" w:eastAsia="宋体" w:cs="宋体"/>
          <w:b/>
          <w:bCs/>
          <w:color w:val="auto"/>
          <w:sz w:val="24"/>
          <w:szCs w:val="24"/>
          <w:highlight w:val="none"/>
          <w:lang w:val="en-US" w:eastAsia="zh-CN"/>
        </w:rPr>
        <w:t xml:space="preserve">一、</w:t>
      </w:r>
      <w:bookmarkStart w:id="154" w:name="_Toc6294"/>
      <w:r/>
      <w:bookmarkStart w:id="155" w:name="_Toc19928"/>
      <w:r/>
      <w:bookmarkStart w:id="156" w:name="_Toc28676"/>
      <w:r>
        <w:rPr>
          <w:rFonts w:hint="eastAsia" w:ascii="宋体" w:hAnsi="宋体" w:eastAsia="宋体" w:cs="宋体"/>
          <w:color w:val="auto"/>
          <w:sz w:val="24"/>
          <w:szCs w:val="24"/>
        </w:rPr>
        <w:t xml:space="preserve">项目提出的背景</w:t>
      </w:r>
      <w:bookmarkEnd w:id="154"/>
      <w:r/>
      <w:bookmarkEnd w:id="155"/>
      <w:r/>
      <w:bookmarkEnd w:id="156"/>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bookmarkStart w:id="157" w:name="_Toc23954"/>
      <w:r/>
      <w:bookmarkStart w:id="158" w:name="_Toc29591"/>
      <w:r>
        <w:rPr>
          <w:rFonts w:hint="eastAsia" w:ascii="宋体" w:hAnsi="宋体" w:eastAsia="宋体" w:cs="宋体"/>
          <w:color w:val="auto"/>
          <w:sz w:val="24"/>
          <w:szCs w:val="24"/>
          <w:lang w:val="en-US" w:eastAsia="zh-CN"/>
        </w:rPr>
        <w:t xml:space="preserve">近年来，我国将生态文明建设纳入国家发展总体布局，碳达峰碳中和目标与湿地保护修复已成为国家重点工作，《湿地保护法》明确了湿地的生态核心地位，盐碱地综合利用同步被列为国家重点发展方向；江苏省积极响应国家战略，通过《江苏省海岸带及海洋空间规划》《江苏省2023-2030年国土绿化规划纲要》构建陆海统筹生态格局，提出沿海盐碱地造林、湿地修复等专项行动，而江苏沿海地区面临的盐碱化、湿地退化等问题，也使得系统性生态治理成为破解生态保护与高质量发展矛盾的关键抓手。</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东台市作为盐城市黄（渤）海候鸟栖息地世界自然遗产地的核心组成区域，肩负着维护湿地生态原真性、守护珍稀候鸟栖息地的重要使命。盐城市已通过专项生态修复项目与《盐城市黄海湿地保护条例》，为区域生态治理明确了刚性标准与行动框架。从区域现实需求来看，东台市沿海滩涂分布有大面积盐碱地，部分区域土壤盐碱化问题突出，且面临互花米草入侵、湿地生境碎片化等突出问题。虽前期在条子泥片区开展盐碱地改造试点并取得显著成效，但仍需通过系统性工程破解生态修复与土地资源高效利用的双重课题。</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与此同时，东台市于2021年出台的《关于进一步加强耕地后备资源开发利用的实施意见（试行）》，已将盐碱地纳入耕地后备资源重点开发利用范畴，通过建立市级土地指标交易平台、设立盐碱地复</w:t>
      </w:r>
      <w:r>
        <w:rPr>
          <w:rFonts w:hint="eastAsia" w:ascii="宋体" w:hAnsi="宋体" w:eastAsia="宋体" w:cs="宋体"/>
          <w:color w:val="auto"/>
          <w:sz w:val="24"/>
          <w:szCs w:val="24"/>
          <w:lang w:val="en-US" w:eastAsia="zh-CN"/>
        </w:rPr>
        <w:t xml:space="preserve">垦专项补助，构建“政府主导+企业运作”的开发机制；2025年最新印发的《关于全面加强耕地保护 严格落实耕地占补平衡的实施意见》，进一步细化盐碱地复垦的政策激励，明确其纳入补充耕地储备库后，实行市与镇区指标按比例分成，永久基本农田内的盐碱地整改恢复为耕地后，还可获得额外奖补。因此，对盐碱地开展生态改造，既是落实东台市《全面推进美丽东台建设行动方案》中“美丽湿地”“美丽海湾”建设任务的具体实践，也是响应地方耕地后备资源开发政策、巩固耕地占补平衡成果、打造“平原森林、沿海湿地、候鸟天堂”三张生态金名片的关键举措。</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基于上述宏观政策导向、区域生态需求与地方政策支撑，为进一步改善东台市沿海区域盐碱地生态退化现状、修复湿地生态系统功能、筑牢黄（渤）海候鸟栖息地世界自然遗产保护根基，同时落实耕地后备资源开发与耕地占补平衡政策要求，提升土地资源可持续利用水平，构建“陆海统筹、生态宜居”的沿海生态安全屏障，拟实施“东台市沿海湿地与岸线生态环境综合治理服务项目（一期）”。</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项目建设的必要性</w:t>
      </w:r>
      <w:bookmarkEnd w:id="157"/>
      <w:r/>
      <w:bookmarkEnd w:id="158"/>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bookmarkStart w:id="159" w:name="_Toc23119"/>
      <w:r>
        <w:rPr>
          <w:rFonts w:hint="eastAsia" w:ascii="宋体" w:hAnsi="宋体" w:eastAsia="宋体" w:cs="宋体"/>
          <w:color w:val="auto"/>
          <w:sz w:val="24"/>
          <w:szCs w:val="24"/>
          <w:lang w:val="en-US" w:eastAsia="zh-CN"/>
        </w:rPr>
        <w:t xml:space="preserve">（一）承接国家与省级生态战略的核心举措</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生态文明建设已成为国家发展的重要底色，湿</w:t>
      </w:r>
      <w:r>
        <w:rPr>
          <w:rFonts w:hint="eastAsia" w:ascii="宋体" w:hAnsi="宋体" w:eastAsia="宋体" w:cs="宋体"/>
          <w:color w:val="auto"/>
          <w:sz w:val="24"/>
          <w:szCs w:val="24"/>
          <w:lang w:val="en-US" w:eastAsia="zh-CN"/>
        </w:rPr>
        <w:t xml:space="preserve">地保护修复与盐碱地综合利用作为生态保护的关键领域，被纳入各级重点工作部署。《湿地保护法》的实施与“双碳”目标的推进，为湿地生态保护划定了明确方向；江苏省立足沿海区位特点，通过多项专项规划构建陆海统筹的生态保护格局，提出针对性的湿地修复与盐碱地治理行动。东台市作为沿海生态屏障的重要节点，其湿地与岸线生态治理工作直接关系到区域生态安全大局。本项目精准承接国家与省级生态战略要求，将宏观政策导向转化为具体的区域治理实践，通过系统性的生态工程建设，助力筑牢全国沿海生态安全屏障，是落实上级战略部署的刚性任务与重要实践。</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（二）破解区域生态突出问题的迫切需求</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东台市沿海区域长期面临多重生态挑战，大面积盐碱地的存在制约了生态系统的良性循环</w:t>
      </w:r>
      <w:r>
        <w:rPr>
          <w:rFonts w:hint="eastAsia" w:ascii="宋体" w:hAnsi="宋体" w:eastAsia="宋体" w:cs="宋体"/>
          <w:color w:val="auto"/>
          <w:sz w:val="24"/>
          <w:szCs w:val="24"/>
          <w:lang w:val="en-US" w:eastAsia="zh-CN"/>
        </w:rPr>
        <w:t xml:space="preserve">，土壤盐碱化问题不仅影响植被生长，还导致区域生态承载力持续弱化；同时，互花米草等外来物种入侵、湿地生境碎片化等问题，严重破坏了湿地生态系统的完整性与连续性，对珍稀候鸟栖息地的原真性保护构成威胁。尽管前期在局部区域开展了盐碱地改造试点并取得一定成效，但零散的治理措施难以从根本上解决全域性的生态退化问题，生态系统的自我修复能力仍需持续强化。本项目通过生态绿化、盐碱地生态改造、渠道建设等综合举措，能够从根源上改善生态退化现状，修复受损的湿地生态功能，维护生物多样性，是破解区域生态困境、保障生态系统稳定的迫切需要。</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（三）落实地方耕地保护与资源开发政策的关键实践</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东台市高</w:t>
      </w:r>
      <w:r>
        <w:rPr>
          <w:rFonts w:hint="eastAsia" w:ascii="宋体" w:hAnsi="宋体" w:eastAsia="宋体" w:cs="宋体"/>
          <w:color w:val="auto"/>
          <w:sz w:val="24"/>
          <w:szCs w:val="24"/>
          <w:lang w:val="en-US" w:eastAsia="zh-CN"/>
        </w:rPr>
        <w:t xml:space="preserve">度重视耕地保护与耕地后备资源开发利用，先后出台多项专项政策，明确将盐碱地纳入重点开发范畴，通过构建专项补助、指标分成等激励机制，引导社会力量参与耕地后备资源治理。在耕地保护红线日益严格的背景下，挖掘盐碱地等闲置资源的生态与生产潜力，成为补充耕地储备、落实占补平衡要求的重要路径。本项目以盐碱地生态改造为核心，通过科学的治理手段将生态功能受限的盐碱地转化为稳定利用的优质资源，既契合地方政策中耕地后备资源开发的导向，又能有效补充区域耕地储备，为地方耕地总量动态平衡提供坚实保障，是政策落地见效的具体实践与典型示范。</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（四）推动区域生态与经济协同高质量发展的重要路径</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东台市依托独特的生</w:t>
      </w:r>
      <w:r>
        <w:rPr>
          <w:rFonts w:hint="eastAsia" w:ascii="宋体" w:hAnsi="宋体" w:eastAsia="宋体" w:cs="宋体"/>
          <w:color w:val="auto"/>
          <w:sz w:val="24"/>
          <w:szCs w:val="24"/>
          <w:lang w:val="en-US" w:eastAsia="zh-CN"/>
        </w:rPr>
        <w:t xml:space="preserve">态资源，将“美丽湿地”“美丽海湾”建设与“平原森林、沿海湿地、候鸟天堂”三张生态金名片打造作为高质量发展的核心抓手。良好的生态环境是区域可持续发展的基础，本项目通过生态治理能够显著提升沿海区域的生态品质，优化土地资源利用结构，增强区域生态承载力。同时，生态环境的改善将为区域绿色产业发展、生态旅游升级等创造有利条件，推动生态价值向经济价值、发展优势转化，实现生态保护与经济发展的良性互动。项目的实施不仅能巩固东台市生态优势，更能为沿海地区探索生态优先、绿色发展的路径提供实践经验，是推动地方高质量发展的关键支撑。</w:t>
      </w:r>
      <w:bookmarkEnd w:id="159"/>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lang w:eastAsia="zh-CN"/>
        </w:rPr>
        <w:outlineLvl w:val="9"/>
      </w:pPr>
      <w:r/>
      <w:bookmarkStart w:id="160" w:name="_Toc26736"/>
      <w:r/>
      <w:bookmarkStart w:id="161" w:name="_Toc22898"/>
      <w:r/>
      <w:bookmarkStart w:id="162" w:name="_Toc9045"/>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建设地点选择</w:t>
      </w:r>
      <w:bookmarkEnd w:id="160"/>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lang w:eastAsia="zh-CN"/>
        </w:rPr>
        <w:outlineLvl w:val="9"/>
      </w:pPr>
      <w:r/>
      <w:bookmarkStart w:id="163" w:name="_Toc8222"/>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选址原则</w:t>
      </w:r>
      <w:bookmarkEnd w:id="163"/>
      <w:r/>
      <w:bookmarkEnd w:id="161"/>
      <w:r/>
      <w:bookmarkEnd w:id="162"/>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（1）生态优先适配原则</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选址需契合湿地保护与生态修复核心目标，优先选择生态退化突出、治理需求迫切的区域，避开世遗保护核心敏感区、公益林及生态保护红线，确保不破坏现有优质生态系统，助力区域生态功能整体提升。</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（2）政策合规衔接原则</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严格遵循国土空间规划、耕地保护、海岸带规划等政策要求，选址需在耕地后备资源开发允许范围内，符合盐碱地综合利用相关规划，确保与地方耕地占补平衡、生态保护等政策导向一致，保障选址合法合规。</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（3）工程实施可行原则</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优先选择地形平缓、集中连片的区域，便于开展系统性生态改造工程；兼顾交通、水利等基础设施配套，确保施工物料运输、机械设备进场及淡水引进等工程需求得到满足，降低项目实施难度与成本。</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（4）生态关联协同原则</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选址需衔接区域现有生态修复成果，优先考虑与已实施试点区域相邻或生态关联紧密的地块，通过连片治理形成生态协同效应，提升湿地生态系统的连续性与完整性，增强治理成效的可持续性。</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lang w:val="en-US" w:eastAsia="zh-CN"/>
        </w:rPr>
        <w:outlineLvl w:val="9"/>
      </w:pPr>
      <w:r/>
      <w:bookmarkStart w:id="164" w:name="_Toc23109"/>
      <w:r>
        <w:rPr>
          <w:rFonts w:hint="eastAsia" w:ascii="宋体" w:hAnsi="宋体" w:eastAsia="宋体" w:cs="宋体"/>
          <w:color w:val="auto"/>
          <w:sz w:val="24"/>
          <w:szCs w:val="24"/>
          <w:lang w:val="en-US" w:eastAsia="zh-CN"/>
        </w:rPr>
        <w:t xml:space="preserve">2、建设地址</w:t>
      </w:r>
      <w:bookmarkEnd w:id="164"/>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基于生态优先、政策合规、工程可行及生态关联协同的选址原则，结合区域生态治理实际需求与资源禀赋，项目拟选址于江苏省盐城市东台市境内。该选址地块集中连片，契合湿地修复与耕地后备资源开发的政策导向，避开生态敏感核心区域；区域交通便利、基础设施配套完善，能满足施工组织与工程运营需求，且自然生态基底良好，为项目系统性开展盐碱地改造、生态绿化等工程提供了有利条件。</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p>
      <w:pPr>
        <w:pStyle w:val="865"/>
        <w:ind w:left="0" w:firstLine="420"/>
        <w:jc w:val="center"/>
        <w:pageBreakBefore w:val="0"/>
        <w:spacing w:line="24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3733165" cy="4497070"/>
                <wp:effectExtent l="0" t="0" r="635"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1"/>
                        <a:stretch/>
                      </pic:blipFill>
                      <pic:spPr bwMode="auto">
                        <a:xfrm>
                          <a:off x="0" y="0"/>
                          <a:ext cx="3733165" cy="4497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3.9pt;height:354.1pt;mso-wrap-distance-left:0.0pt;mso-wrap-distance-top:0.0pt;mso-wrap-distance-right:0.0pt;mso-wrap-distance-bottom:0.0pt;" stroked="f">
                <v:path textboxrect="0,0,0,0"/>
                <v:imagedata r:id="rId11" o:title=""/>
              </v:shape>
            </w:pict>
          </mc:Fallback>
        </mc:AlternateContent>
      </w:r>
      <w:r/>
    </w:p>
    <w:p>
      <w:pPr>
        <w:pStyle w:val="865"/>
        <w:ind w:left="0" w:firstLine="482"/>
        <w:jc w:val="center"/>
        <w:pageBreakBefore w:val="0"/>
        <w:spacing w:line="440" w:lineRule="exact"/>
        <w:widowControl w:val="off"/>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lang w:eastAsia="zh-CN"/>
        </w:rPr>
        <w:t xml:space="preserve">项目建设地址图</w:t>
      </w:r>
      <w:r/>
    </w:p>
    <w:p>
      <w:pPr>
        <w:pStyle w:val="856"/>
        <w:ind w:left="0" w:firstLine="480"/>
        <w:jc w:val="both"/>
        <w:keepLines w:val="0"/>
        <w:keepNext w:val="0"/>
        <w:pageBreakBefore w:val="0"/>
        <w:spacing w:beforeAutospacing="0" w:afterAutospacing="0" w:line="440" w:lineRule="exact"/>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四、采购需求</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本次采购项目为东台市沿海湿地与岸线生态环境综合治理服务项目（一期），中标人承担本项目的前期咨询、相关手续办理及报批、协助采购人进行筹措资金（中标人须在项目实施前按要求协助采购人筹措前期费用约人民币伍亿元，具体详见服务承诺）、生态环境综合治理、监测系统建设、项目管理、进度管理、质量管理、安全管理、风险管理、技术支持服务、绩效评价以及相关伴随服务等，采购人保留进行调整的权利。</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中标人须精心组织，妥善实施，切实保障社会公共利益和人民群众的合法权益，项目实施过程中所有事宜（包括但不限于责任及风险事件）须由中标人自行协调解决，并不得因此损害各方当事人的合法权益及造成任何不良社会影响。</w:t>
      </w:r>
      <w:r/>
    </w:p>
    <w:p>
      <w:pPr>
        <w:ind w:left="0" w:right="0"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五、特别说明</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1、本标不允许分包、转包，否则不作为中标候选人或中标资格被取消。</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2、本项目报价含完成项目内容的一切费用，投标人应综合考虑在投标报价中。项目实施过程中所有事宜须由中标单位自行协调解决。</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3、本次招标不接受选择性报价。</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4、本项目采购人提供的基础资料请各供应商自行从下述网盘下载使用：</w:t>
      </w:r>
      <w:r/>
    </w:p>
    <w:p>
      <w:pPr>
        <w:pStyle w:val="856"/>
        <w:ind w:left="0" w:firstLine="480"/>
        <w:jc w:val="both"/>
        <w:keepLines w:val="0"/>
        <w:keepNext w:val="0"/>
        <w:pageBreakBefore w:val="0"/>
        <w:spacing w:beforeAutospacing="0" w:afterAutospacing="0"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链接：https://pan.baidu.com/s/1G66josDvmy3rSJnJXqd2ZQ提取码：eucu</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5、关于响应文件格式要求补充说明：</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技术及商务要求响应及偏离表无固定填写要求，不作限制。响应及偏离表中“谈判文件要求”可直接填写谈判文件要求，“响应情况”可直接填写响应，“超出、符合或偏离”可直接填写符合，“证明材料”可直接填写详见投标文件或响应文件；各供应商也可自行编制。</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（2）财务状况报告无固定格式要求，可提供第三方的财务报告截图也可提供系统截图也可直接提供对应表页。无第三方盖章要求，供应商盖公章即可。谈判文件中未明确的均不作限制。</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（3）谈判响应函无需签字，供应商盖公章即可。</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（4）法人授权书中联系电话可留办公电话或手机号码，非实质性要求不作限制。</w:t>
      </w:r>
      <w:r/>
    </w:p>
    <w:p>
      <w:pPr>
        <w:ind w:left="0" w:right="0" w:firstLine="480"/>
        <w:keepLines w:val="0"/>
        <w:keepNext w:val="0"/>
        <w:pageBreakBefore w:val="0"/>
        <w:spacing w:line="440" w:lineRule="exact"/>
        <w:widowControl w:val="off"/>
        <w:rPr>
          <w:rFonts w:hint="eastAsia" w:ascii="宋体" w:hAnsi="宋体" w:eastAsia="宋体" w:cs="宋体"/>
          <w:b/>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（5）响应文件无需每一页签章，谈判文件中未明确载明需要盖章、签字的不作要求。有签章要求的签章在所在页即可。</w:t>
      </w:r>
      <w:r/>
    </w:p>
    <w:p>
      <w:pPr>
        <w:ind w:left="0" w:right="0" w:firstLine="480"/>
        <w:keepLines w:val="0"/>
        <w:keepNext w:val="0"/>
        <w:pageBreakBefore w:val="0"/>
        <w:spacing w:line="440" w:lineRule="exact"/>
        <w:widowControl w:val="off"/>
        <w:rPr>
          <w:rFonts w:hint="eastAsia" w:ascii="宋体" w:hAnsi="宋体" w:eastAsia="宋体" w:cs="宋体"/>
          <w:b/>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6、不论何种原因，如本项目未能实施，导致本项目合同无法履行的，供应商自行承担此风险，放弃成交资格，终止合同，不得提出任何索赔。</w:t>
      </w:r>
      <w:r/>
    </w:p>
    <w:p>
      <w:pPr>
        <w:pStyle w:val="856"/>
        <w:ind w:left="0" w:firstLine="482"/>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六、</w:t>
      </w:r>
      <w:r>
        <w:rPr>
          <w:rFonts w:hint="eastAsia" w:ascii="宋体" w:hAnsi="宋体" w:eastAsia="宋体" w:cs="宋体"/>
          <w:b/>
          <w:color w:val="auto"/>
          <w:sz w:val="24"/>
          <w:szCs w:val="24"/>
          <w:highlight w:val="none"/>
          <w:shd w:val="clear" w:color="auto" w:fill="auto"/>
        </w:rPr>
        <w:t xml:space="preserve">政府采购政策功能落实</w:t>
      </w:r>
      <w:r/>
    </w:p>
    <w:p>
      <w:pPr>
        <w:pStyle w:val="856"/>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1、小微型企业价格扣除</w:t>
      </w:r>
      <w:r/>
    </w:p>
    <w:p>
      <w:pPr>
        <w:pStyle w:val="862"/>
        <w:ind w:left="0"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①本项目若不专门面向中小企业采购，对符合规定的小型和微型企业报价给予20%的扣除价格，用扣除后的价格参与评审；若专门面向中小企业采购，不再对小型和微型企业报价给予价格扣除。</w:t>
      </w:r>
      <w:r/>
    </w:p>
    <w:p>
      <w:pPr>
        <w:pStyle w:val="856"/>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（2）供应商需按照</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auto"/>
          <w:sz w:val="24"/>
          <w:szCs w:val="24"/>
          <w:highlight w:val="none"/>
          <w:shd w:val="clear" w:color="auto" w:fill="auto"/>
        </w:rPr>
        <w:t xml:space="preserve">》。</w:t>
      </w:r>
      <w:r/>
    </w:p>
    <w:p>
      <w:pPr>
        <w:pStyle w:val="856"/>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（3）企业标准请参照《关于印发中小企业划型标准规定的通知》（工信部联企业</w:t>
      </w:r>
      <w:r>
        <w:rPr>
          <w:rFonts w:hint="eastAsia" w:ascii="宋体" w:hAnsi="宋体" w:eastAsia="宋体" w:cs="宋体"/>
          <w:color w:val="auto"/>
          <w:sz w:val="24"/>
          <w:szCs w:val="24"/>
          <w:highlight w:val="none"/>
          <w:shd w:val="clear" w:color="auto" w:fill="auto"/>
          <w:lang w:eastAsia="zh-CN"/>
        </w:rPr>
        <w:t xml:space="preserve">〔2011〕300号</w:t>
      </w:r>
      <w:r>
        <w:rPr>
          <w:rFonts w:hint="eastAsia" w:ascii="宋体" w:hAnsi="宋体" w:eastAsia="宋体" w:cs="宋体"/>
          <w:color w:val="auto"/>
          <w:sz w:val="24"/>
          <w:szCs w:val="24"/>
          <w:highlight w:val="none"/>
          <w:shd w:val="clear" w:color="auto" w:fill="auto"/>
        </w:rPr>
        <w:t xml:space="preserve">）文件规定自行填写。</w:t>
      </w:r>
      <w:r/>
    </w:p>
    <w:p>
      <w:pPr>
        <w:pStyle w:val="856"/>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2、残疾人福利单位价格扣除</w:t>
      </w:r>
      <w:r/>
    </w:p>
    <w:p>
      <w:pPr>
        <w:pStyle w:val="862"/>
        <w:ind w:left="0"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bidi="ar-SA"/>
        </w:rPr>
        <w:t xml:space="preserve">①本项目若不专门面向中小企业采购，对符合规定的小型和微型企业报价给予20%的扣除价格，用扣除后的价格参与评审；若专门面向中小企业采购，不再对小型和微型企业报价给予价格扣除。</w:t>
      </w:r>
      <w:r/>
    </w:p>
    <w:p>
      <w:pPr>
        <w:pStyle w:val="856"/>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（2）残疾人福利单位需按照</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文件的要求提供《残疾人福利性单位声明函》。</w:t>
      </w:r>
      <w:r/>
    </w:p>
    <w:p>
      <w:pPr>
        <w:pStyle w:val="856"/>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（3）残疾人福利单位标准请参照《关于促进残疾人就业政府采购政策的通知》（财库〔2017〕141号）。</w:t>
      </w:r>
      <w:r/>
    </w:p>
    <w:p>
      <w:pPr>
        <w:pStyle w:val="856"/>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3、监狱和戒毒企业价格扣除</w:t>
      </w:r>
      <w:r/>
    </w:p>
    <w:p>
      <w:pPr>
        <w:pStyle w:val="856"/>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u w:val="single"/>
          <w:shd w:val="clear" w:color="auto" w:fill="auto"/>
          <w:lang w:eastAsia="zh-CN"/>
        </w:rPr>
      </w:pPr>
      <w:r>
        <w:rPr>
          <w:rFonts w:hint="eastAsia" w:ascii="宋体" w:hAnsi="宋体" w:eastAsia="宋体" w:cs="宋体"/>
          <w:color w:val="auto"/>
          <w:sz w:val="24"/>
          <w:szCs w:val="24"/>
          <w:highlight w:val="none"/>
          <w:shd w:val="clear" w:color="auto" w:fill="auto"/>
        </w:rPr>
        <w:t xml:space="preserve">（1）本项目对监狱和戒毒企业（简称监狱企业）视同小型、微型企业，给予</w:t>
      </w:r>
      <w:r>
        <w:rPr>
          <w:rFonts w:hint="eastAsia" w:ascii="宋体" w:hAnsi="宋体" w:eastAsia="宋体" w:cs="宋体"/>
          <w:color w:val="auto"/>
          <w:sz w:val="24"/>
          <w:szCs w:val="24"/>
          <w:highlight w:val="none"/>
          <w:u w:val="single"/>
          <w:shd w:val="clear" w:color="auto" w:fill="auto"/>
        </w:rPr>
        <w:t xml:space="preserve">20%</w:t>
      </w:r>
      <w:r>
        <w:rPr>
          <w:rFonts w:hint="eastAsia" w:ascii="宋体" w:hAnsi="宋体" w:eastAsia="宋体" w:cs="宋体"/>
          <w:color w:val="auto"/>
          <w:sz w:val="24"/>
          <w:szCs w:val="24"/>
          <w:highlight w:val="none"/>
          <w:shd w:val="clear" w:color="auto" w:fill="auto"/>
        </w:rPr>
        <w:t xml:space="preserve">的价格扣除</w:t>
      </w:r>
      <w:r>
        <w:rPr>
          <w:rFonts w:hint="eastAsia" w:ascii="宋体" w:hAnsi="宋体" w:eastAsia="宋体" w:cs="宋体"/>
          <w:color w:val="auto"/>
          <w:sz w:val="24"/>
          <w:szCs w:val="24"/>
          <w:highlight w:val="none"/>
          <w:shd w:val="clear" w:color="auto" w:fill="auto"/>
          <w:lang w:eastAsia="zh-CN"/>
        </w:rPr>
        <w:t xml:space="preserve">。</w:t>
      </w:r>
      <w:r/>
    </w:p>
    <w:p>
      <w:pPr>
        <w:pStyle w:val="856"/>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6"/>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（3）监狱企业标准请参照《关于政府采购支持监狱企业发展有关问题的通知》（财库</w:t>
      </w:r>
      <w:r>
        <w:rPr>
          <w:rFonts w:hint="eastAsia" w:ascii="宋体" w:hAnsi="宋体" w:eastAsia="宋体" w:cs="宋体"/>
          <w:color w:val="auto"/>
          <w:sz w:val="24"/>
          <w:szCs w:val="24"/>
          <w:highlight w:val="none"/>
          <w:shd w:val="clear" w:color="auto" w:fill="auto"/>
          <w:lang w:eastAsia="zh-CN"/>
        </w:rPr>
        <w:t xml:space="preserve">〔2014〕68号</w:t>
      </w:r>
      <w:r>
        <w:rPr>
          <w:rFonts w:hint="eastAsia" w:ascii="宋体" w:hAnsi="宋体" w:eastAsia="宋体" w:cs="宋体"/>
          <w:color w:val="auto"/>
          <w:sz w:val="24"/>
          <w:szCs w:val="24"/>
          <w:highlight w:val="none"/>
          <w:shd w:val="clear" w:color="auto" w:fill="auto"/>
        </w:rPr>
        <w:t xml:space="preserve">）。</w:t>
      </w:r>
      <w:r/>
    </w:p>
    <w:p>
      <w:pPr>
        <w:pStyle w:val="856"/>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4、残疾人福利单位、监狱企业属于小型、微型企业的，不重复享受政策。</w:t>
      </w:r>
      <w:r/>
    </w:p>
    <w:p>
      <w:pPr>
        <w:pStyle w:val="856"/>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shd w:val="clear" w:color="auto" w:fill="auto"/>
        </w:rPr>
        <w:t xml:space="preserve">6%</w:t>
      </w:r>
      <w:r>
        <w:rPr>
          <w:rFonts w:hint="eastAsia" w:ascii="宋体" w:hAnsi="宋体" w:eastAsia="宋体" w:cs="宋体"/>
          <w:color w:val="auto"/>
          <w:sz w:val="24"/>
          <w:szCs w:val="24"/>
          <w:highlight w:val="none"/>
          <w:shd w:val="clear" w:color="auto" w:fill="auto"/>
        </w:rPr>
        <w:t xml:space="preserve">的价格扣除，用扣除后的价格参与评审。</w:t>
      </w:r>
      <w:r/>
    </w:p>
    <w:p>
      <w:pPr>
        <w:pStyle w:val="856"/>
        <w:ind w:lef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auto"/>
          <w:sz w:val="24"/>
          <w:szCs w:val="24"/>
          <w:highlight w:val="none"/>
          <w:u w:val="single"/>
          <w:shd w:val="clear" w:color="auto" w:fill="auto"/>
        </w:rPr>
        <w:t xml:space="preserve">20%</w:t>
      </w:r>
      <w:r>
        <w:rPr>
          <w:rFonts w:hint="eastAsia" w:ascii="宋体" w:hAnsi="宋体" w:eastAsia="宋体" w:cs="宋体"/>
          <w:color w:val="auto"/>
          <w:sz w:val="24"/>
          <w:szCs w:val="24"/>
          <w:highlight w:val="none"/>
          <w:shd w:val="clear" w:color="auto" w:fill="auto"/>
        </w:rPr>
        <w:t xml:space="preserve">的价格扣除</w:t>
      </w:r>
      <w:r>
        <w:rPr>
          <w:rFonts w:hint="eastAsia" w:ascii="宋体" w:hAnsi="宋体" w:eastAsia="宋体" w:cs="宋体"/>
          <w:color w:val="auto"/>
          <w:sz w:val="24"/>
          <w:szCs w:val="24"/>
          <w:highlight w:val="none"/>
          <w:shd w:val="clear" w:color="auto" w:fill="auto"/>
          <w:lang w:eastAsia="zh-CN"/>
        </w:rPr>
        <w:t xml:space="preserve">。</w:t>
      </w:r>
      <w:r/>
    </w:p>
    <w:p>
      <w:p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right="0" w:firstLine="482"/>
        <w:jc w:val="both"/>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、采购标的对应的中小企业划分标准所属行业一览表</w:t>
      </w:r>
      <w:r/>
    </w:p>
    <w:tbl>
      <w:tblPr>
        <w:tblStyle w:val="85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7"/>
        <w:gridCol w:w="3845"/>
        <w:gridCol w:w="3674"/>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4"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对应中小企业划分标准所属行业</w:t>
            </w:r>
            <w:r/>
          </w:p>
        </w:tc>
      </w:tr>
      <w:tr>
        <w:trPr>
          <w:jc w:val="cente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东台市沿海湿地与岸线生态环境综合治理服务项目（一期）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4"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其他未列明行业</w:t>
            </w:r>
            <w:r/>
          </w:p>
        </w:tc>
      </w:tr>
    </w:tbl>
    <w:p>
      <w:pPr>
        <w:pStyle w:val="856"/>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602"/>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b/>
          <w:bCs/>
          <w:color w:val="auto"/>
          <w:sz w:val="44"/>
          <w:szCs w:val="44"/>
          <w:highlight w:val="none"/>
          <w:shd w:val="clear" w:color="auto" w:fill="auto"/>
        </w:rPr>
      </w:pPr>
      <w:r>
        <w:rPr>
          <w:rFonts w:hint="eastAsia" w:ascii="宋体" w:hAnsi="宋体" w:eastAsia="宋体" w:cs="宋体"/>
          <w:color w:val="auto"/>
          <w:highlight w:val="none"/>
          <w:shd w:val="clear" w:color="auto" w:fill="auto"/>
        </w:rPr>
        <w:t xml:space="preserve"> </w:t>
      </w:r>
      <w:bookmarkStart w:id="165" w:name="_Toc120614281"/>
      <w:r/>
      <w:r/>
    </w:p>
    <w:p>
      <w:pPr>
        <w:pStyle w:val="856"/>
        <w:jc w:val="center"/>
        <w:spacing w:beforeAutospacing="0" w:afterAutospacing="0"/>
        <w:tabs>
          <w:tab w:val="left" w:pos="6205" w:leader="none"/>
        </w:tabs>
        <w:rPr>
          <w:rFonts w:hint="eastAsia" w:ascii="宋体" w:hAnsi="宋体" w:eastAsia="宋体" w:cs="宋体"/>
          <w:b/>
          <w:bCs/>
          <w:color w:val="auto"/>
          <w:highlight w:val="none"/>
          <w:shd w:val="clear" w:color="auto" w:fill="auto"/>
        </w:rPr>
      </w:pPr>
      <w:r>
        <w:rPr>
          <w:rFonts w:hint="eastAsia" w:ascii="宋体" w:hAnsi="宋体" w:eastAsia="宋体" w:cs="宋体"/>
          <w:b/>
          <w:bCs/>
          <w:color w:val="auto"/>
          <w:sz w:val="44"/>
          <w:szCs w:val="44"/>
          <w:highlight w:val="none"/>
          <w:shd w:val="clear" w:color="auto" w:fill="auto"/>
        </w:rPr>
        <w:t xml:space="preserve">第五章  响应文件格式</w:t>
      </w:r>
      <w:r/>
    </w:p>
    <w:p>
      <w:pPr>
        <w:pStyle w:val="856"/>
        <w:jc w:val="center"/>
        <w:spacing w:beforeAutospacing="0" w:afterAutospacing="0"/>
        <w:rPr>
          <w:rFonts w:hint="eastAsia" w:ascii="宋体" w:hAnsi="宋体" w:eastAsia="宋体" w:cs="宋体"/>
          <w:b/>
          <w:color w:val="auto"/>
          <w:sz w:val="72"/>
          <w:szCs w:val="72"/>
          <w:highlight w:val="none"/>
          <w:shd w:val="clear" w:color="auto" w:fill="auto"/>
        </w:rPr>
      </w:pPr>
      <w:r/>
      <w:bookmarkStart w:id="166" w:name="_Toc49090576"/>
      <w:r/>
      <w:bookmarkEnd w:id="166"/>
      <w:r/>
      <w:bookmarkStart w:id="167" w:name="_Toc120614282"/>
      <w:r/>
      <w:bookmarkEnd w:id="167"/>
      <w:r/>
      <w:bookmarkStart w:id="168" w:name="_Toc26554094"/>
      <w:r/>
      <w:bookmarkStart w:id="169" w:name="_Hlt26671244"/>
      <w:r/>
      <w:bookmarkStart w:id="170" w:name="_Hlt26955039"/>
      <w:r/>
      <w:r/>
    </w:p>
    <w:p>
      <w:pPr>
        <w:pStyle w:val="856"/>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856"/>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编 号：</w:t>
      </w:r>
      <w:r>
        <w:rPr>
          <w:rFonts w:hint="eastAsia" w:ascii="宋体" w:hAnsi="宋体" w:eastAsia="宋体" w:cs="宋体"/>
          <w:b/>
          <w:color w:val="auto"/>
          <w:sz w:val="36"/>
          <w:szCs w:val="36"/>
          <w:highlight w:val="none"/>
          <w:u w:val="single"/>
          <w:shd w:val="clear" w:color="auto" w:fill="auto"/>
        </w:rPr>
        <w:t xml:space="preserve">               </w:t>
      </w:r>
      <w:r/>
    </w:p>
    <w:p>
      <w:pPr>
        <w:pStyle w:val="856"/>
        <w:jc w:val="left"/>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供应商名称 ：</w:t>
      </w:r>
      <w:r>
        <w:rPr>
          <w:rFonts w:hint="eastAsia" w:ascii="宋体" w:hAnsi="宋体" w:eastAsia="宋体" w:cs="宋体"/>
          <w:b/>
          <w:color w:val="auto"/>
          <w:sz w:val="36"/>
          <w:szCs w:val="36"/>
          <w:highlight w:val="none"/>
          <w:u w:val="single"/>
          <w:shd w:val="clear" w:color="auto" w:fill="auto"/>
        </w:rPr>
        <w:t xml:space="preserve">（加盖CA电子公章）</w:t>
      </w:r>
      <w:r>
        <w:rPr>
          <w:rFonts w:hint="eastAsia" w:ascii="宋体" w:hAnsi="宋体" w:eastAsia="宋体" w:cs="宋体"/>
          <w:b/>
          <w:color w:val="auto"/>
          <w:sz w:val="36"/>
          <w:szCs w:val="36"/>
          <w:highlight w:val="none"/>
          <w:shd w:val="clear" w:color="auto" w:fill="auto"/>
        </w:rPr>
        <w:t xml:space="preserve">日   期 ：</w:t>
      </w:r>
      <w:r>
        <w:rPr>
          <w:rFonts w:hint="eastAsia" w:ascii="宋体" w:hAnsi="宋体" w:eastAsia="宋体" w:cs="宋体"/>
          <w:b/>
          <w:color w:val="auto"/>
          <w:sz w:val="36"/>
          <w:szCs w:val="36"/>
          <w:highlight w:val="none"/>
          <w:u w:val="single"/>
          <w:shd w:val="clear" w:color="auto" w:fill="auto"/>
        </w:rPr>
        <w:t xml:space="preserve">               </w:t>
      </w:r>
      <w:r/>
    </w:p>
    <w:p>
      <w:pPr>
        <w:pStyle w:val="85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1084"/>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6"/>
          <w:szCs w:val="36"/>
          <w:highlight w:val="none"/>
          <w:u w:val="single"/>
          <w:shd w:val="clear" w:color="auto" w:fill="auto"/>
        </w:rPr>
        <w:br w:type="page" w:clear="all"/>
      </w:r>
      <w:r/>
    </w:p>
    <w:p>
      <w:pPr>
        <w:pStyle w:val="856"/>
        <w:jc w:val="center"/>
        <w:spacing w:beforeAutospacing="0" w:afterAutospacing="0" w:line="0" w:lineRule="atLeast"/>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85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85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一、法人或者其他组织的营业执照等证明文件，自然人的身份证明</w:t>
      </w:r>
      <w:r/>
    </w:p>
    <w:p>
      <w:pPr>
        <w:ind w:left="0" w:firstLine="480"/>
        <w:jc w:val="left"/>
        <w:keepLines w:val="0"/>
        <w:keepNext w:val="0"/>
        <w:pageBreakBefore w:val="0"/>
        <w:spacing w:line="440" w:lineRule="exac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二、上一年度的财务状况报告（至少提供资产负债表、利润表、现金流量表，</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谈判供应商成立不满一年无需提供）</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三</w:t>
      </w:r>
      <w:r>
        <w:rPr>
          <w:rFonts w:hint="eastAsia" w:ascii="宋体" w:hAnsi="宋体" w:eastAsia="宋体" w:cs="宋体"/>
          <w:i w:val="0"/>
          <w:iCs/>
          <w:color w:val="auto"/>
          <w:highlight w:val="none"/>
          <w:u w:val="none"/>
          <w:shd w:val="clear" w:color="auto" w:fill="auto"/>
        </w:rPr>
        <w:t xml:space="preserve">、具备履行合同所必需的设备和专业技术能力的书面声明</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四</w:t>
      </w:r>
      <w:r>
        <w:rPr>
          <w:rFonts w:hint="eastAsia" w:ascii="宋体" w:hAnsi="宋体" w:eastAsia="宋体" w:cs="宋体"/>
          <w:i w:val="0"/>
          <w:iCs/>
          <w:color w:val="auto"/>
          <w:highlight w:val="none"/>
          <w:u w:val="none"/>
          <w:shd w:val="clear" w:color="auto" w:fill="auto"/>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五、参加政府采购活动前 3 年内在经营活动中没有重大违法记录的书面声明</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六、特定资格要求的证明文件（如果本项目设置特定资格要求，则需要提供）</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七、法人授权书</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八、谈判响应函</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十、残疾人福利性单位声明函</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十一、联合体协议</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十二、分项报价表</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十三、技术要求响应及偏离表</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十四、商务要求响应及偏离表</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十五、开标一览表</w:t>
      </w:r>
      <w:r/>
    </w:p>
    <w:p>
      <w:pPr>
        <w:ind w:left="0" w:firstLine="480"/>
        <w:keepLines w:val="0"/>
        <w:keepNext w:val="0"/>
        <w:pageBreakBefore w:val="0"/>
        <w:spacing w:line="440" w:lineRule="exact"/>
        <w:widowControl/>
        <w:rPr>
          <w:rFonts w:hint="eastAsia"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 xml:space="preserve">十</w:t>
      </w:r>
      <w:r>
        <w:rPr>
          <w:rFonts w:hint="eastAsia" w:ascii="宋体" w:hAnsi="宋体" w:eastAsia="宋体" w:cs="宋体"/>
          <w:i w:val="0"/>
          <w:iCs/>
          <w:color w:val="auto"/>
          <w:sz w:val="24"/>
          <w:highlight w:val="none"/>
          <w:u w:val="none"/>
          <w:shd w:val="clear" w:color="auto" w:fill="auto"/>
          <w:lang w:val="en-US" w:eastAsia="zh-CN"/>
        </w:rPr>
        <w:t xml:space="preserve">六</w:t>
      </w:r>
      <w:r>
        <w:rPr>
          <w:rFonts w:hint="eastAsia" w:ascii="宋体" w:hAnsi="宋体" w:eastAsia="宋体" w:cs="宋体"/>
          <w:i w:val="0"/>
          <w:iCs/>
          <w:color w:val="auto"/>
          <w:sz w:val="24"/>
          <w:highlight w:val="none"/>
          <w:u w:val="none"/>
          <w:shd w:val="clear" w:color="auto" w:fill="auto"/>
        </w:rPr>
        <w:t xml:space="preserve">、服务承诺</w:t>
      </w:r>
      <w:r/>
    </w:p>
    <w:p>
      <w:pPr>
        <w:pStyle w:val="856"/>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七</w:t>
      </w:r>
      <w:r>
        <w:rPr>
          <w:rFonts w:hint="eastAsia" w:ascii="宋体" w:hAnsi="宋体" w:eastAsia="宋体" w:cs="宋体"/>
          <w:i w:val="0"/>
          <w:iCs/>
          <w:color w:val="auto"/>
          <w:highlight w:val="none"/>
          <w:u w:val="none"/>
          <w:shd w:val="clear" w:color="auto" w:fill="auto"/>
        </w:rPr>
        <w:t xml:space="preserve">、盐城市政府采购事前信用承诺书</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clear="all"/>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rPr>
        <w:t xml:space="preserve">一、法人或者其他组织的营业执照等证明文件，自然人的身份证明</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lang w:val="en-US" w:eastAsia="zh-CN"/>
        </w:rPr>
      </w:pPr>
      <w:r>
        <w:rPr>
          <w:rFonts w:hint="eastAsia" w:ascii="宋体" w:hAnsi="宋体" w:eastAsia="宋体" w:cs="宋体"/>
          <w:i/>
          <w:color w:val="auto"/>
          <w:sz w:val="32"/>
          <w:szCs w:val="32"/>
          <w:highlight w:val="none"/>
          <w:u w:val="single"/>
          <w:shd w:val="clear" w:color="auto" w:fill="auto"/>
        </w:rPr>
        <w:t xml:space="preserve">二、上一年度的财务状况报</w:t>
      </w:r>
      <w:r>
        <w:rPr>
          <w:rFonts w:hint="eastAsia" w:ascii="宋体" w:hAnsi="宋体" w:eastAsia="宋体" w:cs="宋体"/>
          <w:i/>
          <w:color w:val="auto"/>
          <w:sz w:val="32"/>
          <w:szCs w:val="32"/>
          <w:highlight w:val="none"/>
          <w:u w:val="single"/>
          <w:shd w:val="clear" w:color="auto" w:fill="auto"/>
          <w:lang w:val="en-US" w:eastAsia="zh-CN"/>
        </w:rPr>
        <w:t xml:space="preserve">告</w:t>
      </w:r>
      <w:r/>
    </w:p>
    <w:p>
      <w:pPr>
        <w:ind w:firstLine="480"/>
        <w:jc w:val="left"/>
        <w:tabs>
          <w:tab w:val="left" w:pos="1331" w:leader="none"/>
        </w:tabs>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auto"/>
          <w:highlight w:val="none"/>
          <w:u w:val="none"/>
          <w:shd w:val="clear" w:color="auto" w:fill="auto"/>
        </w:rPr>
        <w:t xml:space="preserve">谈判供应商成立不满一年无需提供）</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三</w:t>
      </w:r>
      <w:r>
        <w:rPr>
          <w:rFonts w:hint="eastAsia" w:ascii="宋体" w:hAnsi="宋体" w:eastAsia="宋体" w:cs="宋体"/>
          <w:i/>
          <w:color w:val="auto"/>
          <w:sz w:val="32"/>
          <w:szCs w:val="32"/>
          <w:highlight w:val="none"/>
          <w:u w:val="single"/>
          <w:shd w:val="clear" w:color="auto" w:fill="auto"/>
        </w:rPr>
        <w:t xml:space="preserve">、具备履行合同所必需的设备和专业技术能力的书面声明</w:t>
      </w:r>
      <w:r/>
    </w:p>
    <w:p>
      <w:pPr>
        <w:pStyle w:val="856"/>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856"/>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856"/>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856"/>
        <w:jc w:val="left"/>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lang w:val="en-US" w:eastAsia="zh-CN"/>
        </w:rPr>
        <w:t xml:space="preserve">四</w:t>
      </w:r>
      <w:r>
        <w:rPr>
          <w:rFonts w:hint="eastAsia" w:ascii="宋体" w:hAnsi="宋体" w:eastAsia="宋体" w:cs="宋体"/>
          <w:i/>
          <w:color w:val="auto"/>
          <w:sz w:val="32"/>
          <w:szCs w:val="32"/>
          <w:highlight w:val="none"/>
          <w:u w:val="single"/>
          <w:shd w:val="clear" w:color="auto" w:fill="auto"/>
        </w:rPr>
        <w:t xml:space="preserve">、依法缴纳税收和社会保障资金的相关材料</w:t>
      </w:r>
      <w:r/>
    </w:p>
    <w:p>
      <w:pPr>
        <w:pStyle w:val="856"/>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rPr>
        <w:t xml:space="preserve">五、参加政府采购活动前 3 年内在经营活动中没有重大违法记录的书面声明</w:t>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        声  明</w:t>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i/>
          <w:color w:val="auto"/>
          <w:sz w:val="32"/>
          <w:szCs w:val="32"/>
          <w:highlight w:val="none"/>
          <w:u w:val="single"/>
          <w:shd w:val="clear" w:color="auto" w:fill="auto"/>
        </w:rPr>
        <w:t xml:space="preserve">六、特定资格要求的证明文件</w:t>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856"/>
        <w:jc w:val="center"/>
        <w:spacing w:beforeAutospacing="0" w:afterAutospacing="0"/>
        <w:rPr>
          <w:rFonts w:hint="eastAsia" w:ascii="宋体" w:hAnsi="宋体" w:eastAsia="宋体" w:cs="宋体"/>
          <w:i/>
          <w:color w:val="auto"/>
          <w:sz w:val="32"/>
          <w:szCs w:val="32"/>
          <w:highlight w:val="none"/>
          <w:u w:val="single"/>
          <w:shd w:val="clear" w:color="auto" w:fill="auto"/>
        </w:rPr>
      </w:pPr>
      <w:r/>
      <w:bookmarkStart w:id="171" w:name="_Toc120614284"/>
      <w:r/>
      <w:r/>
    </w:p>
    <w:p>
      <w:pPr>
        <w:pStyle w:val="856"/>
        <w:jc w:val="center"/>
        <w:spacing w:beforeAutospacing="0" w:afterAutospacing="0"/>
        <w:rPr>
          <w:rFonts w:hint="eastAsia" w:ascii="宋体" w:hAnsi="宋体" w:eastAsia="宋体" w:cs="宋体"/>
          <w:i/>
          <w:color w:val="auto"/>
          <w:sz w:val="32"/>
          <w:szCs w:val="32"/>
          <w:highlight w:val="none"/>
          <w:u w:val="single"/>
          <w:shd w:val="clear" w:color="auto" w:fill="auto"/>
        </w:rPr>
      </w:pPr>
      <w:r>
        <w:rPr>
          <w:rFonts w:hint="eastAsia" w:ascii="宋体" w:hAnsi="宋体" w:eastAsia="宋体" w:cs="宋体"/>
          <w:i/>
          <w:color w:val="auto"/>
          <w:sz w:val="32"/>
          <w:szCs w:val="32"/>
          <w:highlight w:val="none"/>
          <w:u w:val="single"/>
          <w:shd w:val="clear" w:color="auto" w:fill="auto"/>
        </w:rPr>
      </w:r>
      <w:r/>
    </w:p>
    <w:p>
      <w:pPr>
        <w:pStyle w:val="856"/>
        <w:jc w:val="center"/>
        <w:spacing w:beforeAutospacing="0" w:afterAutospacing="0"/>
        <w:rPr>
          <w:rFonts w:hint="eastAsia" w:ascii="宋体" w:hAnsi="宋体" w:eastAsia="宋体" w:cs="宋体"/>
          <w:i/>
          <w:color w:val="auto"/>
          <w:sz w:val="32"/>
          <w:szCs w:val="32"/>
          <w:highlight w:val="none"/>
          <w:u w:val="single"/>
          <w:shd w:val="clear" w:color="auto" w:fill="auto"/>
        </w:rPr>
      </w:pPr>
      <w:r>
        <w:rPr>
          <w:rFonts w:hint="eastAsia" w:ascii="宋体" w:hAnsi="宋体" w:eastAsia="宋体" w:cs="宋体"/>
          <w:i/>
          <w:color w:val="auto"/>
          <w:sz w:val="32"/>
          <w:szCs w:val="32"/>
          <w:highlight w:val="none"/>
          <w:u w:val="single"/>
          <w:shd w:val="clear" w:color="auto" w:fill="auto"/>
        </w:rPr>
      </w:r>
      <w:r/>
    </w:p>
    <w:p>
      <w:pPr>
        <w:shd w:val="nil"/>
        <w:rPr>
          <w:rFonts w:hint="eastAsia" w:ascii="宋体" w:hAnsi="宋体" w:eastAsia="宋体" w:cs="宋体"/>
          <w:b/>
          <w:bCs/>
          <w:color w:val="auto"/>
          <w:highlight w:val="none"/>
        </w:rPr>
      </w:pPr>
      <w:r>
        <w:rPr>
          <w:rFonts w:hint="eastAsia" w:ascii="宋体" w:hAnsi="宋体" w:eastAsia="宋体" w:cs="宋体"/>
          <w:b/>
          <w:bCs/>
          <w:i/>
          <w:color w:val="auto"/>
          <w:sz w:val="32"/>
          <w:szCs w:val="32"/>
          <w:highlight w:val="none"/>
          <w:u w:val="single"/>
          <w:shd w:val="clear" w:color="auto" w:fill="auto"/>
        </w:rPr>
        <w:br w:type="page" w:clear="all"/>
      </w:r>
      <w:r>
        <w:rPr>
          <w:rFonts w:hint="eastAsia" w:ascii="宋体" w:hAnsi="宋体" w:eastAsia="宋体" w:cs="宋体"/>
          <w:b/>
          <w:bCs/>
          <w:i/>
          <w:color w:val="auto"/>
          <w:sz w:val="32"/>
          <w:szCs w:val="32"/>
          <w:highlight w:val="none"/>
          <w:u w:val="single"/>
          <w:shd w:val="clear" w:color="auto" w:fill="auto"/>
        </w:rPr>
      </w:r>
    </w:p>
    <w:p>
      <w:pPr>
        <w:pStyle w:val="856"/>
        <w:jc w:val="center"/>
        <w:spacing w:beforeAutospacing="0" w:afterAutospacing="0"/>
        <w:rPr>
          <w:rFonts w:hint="eastAsia" w:ascii="宋体" w:hAnsi="宋体" w:eastAsia="宋体" w:cs="宋体"/>
          <w:b/>
          <w:bCs/>
          <w:i/>
          <w:color w:val="auto"/>
          <w:sz w:val="32"/>
          <w:szCs w:val="32"/>
          <w:highlight w:val="none"/>
          <w:u w:val="single"/>
          <w:shd w:val="clear" w:color="auto" w:fill="auto"/>
        </w:rPr>
      </w:pPr>
      <w:r>
        <w:rPr>
          <w:rFonts w:hint="eastAsia" w:ascii="宋体" w:hAnsi="宋体" w:eastAsia="宋体" w:cs="宋体"/>
          <w:b/>
          <w:bCs/>
          <w:i/>
          <w:color w:val="auto"/>
          <w:sz w:val="32"/>
          <w:szCs w:val="32"/>
          <w:highlight w:val="none"/>
          <w:u w:val="single"/>
          <w:shd w:val="clear" w:color="auto" w:fill="auto"/>
        </w:rPr>
        <w:t xml:space="preserve">七、法人授权书</w:t>
      </w:r>
      <w:r/>
    </w:p>
    <w:p>
      <w:pPr>
        <w:pStyle w:val="856"/>
        <w:ind w:firstLine="480"/>
        <w:jc w:val="both"/>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本授权书声明：____________（供应商名称）授权________________（被授权人的姓名）为我方就JSZC-</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号项目采购活动的合法代理人，以本单位名义全权处理一切与该项目采购有关的事务。</w:t>
      </w:r>
      <w:r/>
    </w:p>
    <w:p>
      <w:pPr>
        <w:pStyle w:val="856"/>
        <w:ind w:firstLine="480"/>
        <w:jc w:val="both"/>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本授权书于______年____月____日起生效，特此声明。</w:t>
      </w:r>
      <w:r/>
    </w:p>
    <w:p>
      <w:pPr>
        <w:pStyle w:val="856"/>
        <w:ind w:firstLine="480"/>
        <w:jc w:val="left"/>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被授权人身份证号码：</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u w:val="single"/>
          <w:shd w:val="clear" w:color="auto" w:fill="auto"/>
        </w:rPr>
        <w:t xml:space="preserve">     </w:t>
      </w:r>
      <w:r/>
    </w:p>
    <w:p>
      <w:pPr>
        <w:pStyle w:val="856"/>
        <w:ind w:firstLine="480"/>
        <w:jc w:val="left"/>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被授权人联系电话：（手机）</w:t>
      </w:r>
      <w:r>
        <w:rPr>
          <w:rFonts w:hint="eastAsia" w:ascii="宋体" w:hAnsi="宋体" w:eastAsia="宋体" w:cs="宋体"/>
          <w:color w:val="auto"/>
          <w:highlight w:val="none"/>
          <w:u w:val="single"/>
          <w:shd w:val="clear" w:color="auto" w:fill="auto"/>
        </w:rPr>
        <w:t xml:space="preserve">                      </w:t>
      </w:r>
      <w:r/>
    </w:p>
    <w:p>
      <w:pPr>
        <w:pStyle w:val="856"/>
        <w:ind w:firstLine="480"/>
        <w:jc w:val="left"/>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授权单位名称：</w:t>
      </w:r>
      <w:r>
        <w:rPr>
          <w:rFonts w:hint="eastAsia" w:ascii="宋体" w:hAnsi="宋体" w:eastAsia="宋体" w:cs="宋体"/>
          <w:color w:val="auto"/>
          <w:highlight w:val="none"/>
          <w:u w:val="single"/>
          <w:shd w:val="clear" w:color="auto" w:fill="auto"/>
        </w:rPr>
        <w:t xml:space="preserve">（加盖CA电子公章）</w:t>
      </w:r>
      <w:r/>
    </w:p>
    <w:p>
      <w:pPr>
        <w:pStyle w:val="856"/>
        <w:ind w:firstLine="480"/>
        <w:jc w:val="left"/>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单位地址：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u w:val="single"/>
          <w:shd w:val="clear" w:color="auto" w:fill="auto"/>
        </w:rPr>
        <w:t xml:space="preserve">         </w:t>
      </w:r>
      <w:r/>
    </w:p>
    <w:p>
      <w:pPr>
        <w:pStyle w:val="856"/>
        <w:ind w:firstLine="480"/>
        <w:jc w:val="both"/>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日期：</w:t>
      </w:r>
      <w:bookmarkStart w:id="172" w:name="_格式3__银行出具的资信证明"/>
      <w:r/>
      <w:bookmarkStart w:id="173" w:name="_Hlt26671380"/>
      <w:r/>
      <w:bookmarkStart w:id="174" w:name="_Hlt26955070"/>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u w:val="single"/>
          <w:shd w:val="clear" w:color="auto" w:fill="auto"/>
        </w:rPr>
        <w:t xml:space="preserve">  </w:t>
      </w:r>
      <w:r/>
    </w:p>
    <w:p>
      <w:pPr>
        <w:pStyle w:val="856"/>
        <w:ind w:firstLine="480"/>
        <w:jc w:val="left"/>
        <w:spacing w:beforeAutospacing="0" w:afterAutospacing="0"/>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480"/>
        <w:jc w:val="both"/>
        <w:spacing w:beforeAutospacing="0" w:afterAutospacing="0"/>
        <w:tabs>
          <w:tab w:val="left" w:pos="3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42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3390"/>
        <w:jc w:val="both"/>
        <w:keepLines/>
        <w:keepNext/>
        <w:spacing w:before="260" w:beforeAutospacing="0" w:after="260" w:afterAutospacing="0" w:line="415" w:lineRule="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宋体" w:hAnsi="宋体" w:eastAsia="宋体" w:cs="宋体"/>
          <w:b/>
          <w:color w:val="auto"/>
          <w:highlight w:val="none"/>
          <w:shd w:val="clear" w:color="auto" w:fill="auto"/>
        </w:rPr>
        <w:t xml:space="preserve"> </w:t>
      </w:r>
      <w:r>
        <w:rPr>
          <w:rFonts w:hint="eastAsia" w:ascii="宋体" w:hAnsi="宋体" w:eastAsia="宋体" w:cs="宋体"/>
          <w:b/>
          <w:i/>
          <w:color w:val="auto"/>
          <w:sz w:val="32"/>
          <w:szCs w:val="32"/>
          <w:highlight w:val="none"/>
          <w:u w:val="single"/>
          <w:shd w:val="clear" w:color="auto" w:fill="auto"/>
        </w:rPr>
        <w:t xml:space="preserve">八、谈判响应函</w:t>
      </w:r>
      <w:r/>
    </w:p>
    <w:p>
      <w:pPr>
        <w:pStyle w:val="856"/>
        <w:spacing w:beforeAutospacing="0" w:afterAutospacing="0" w:line="0" w:lineRule="atLeast"/>
        <w:rPr>
          <w:rFonts w:hint="eastAsia" w:ascii="宋体" w:hAnsi="宋体" w:eastAsia="宋体" w:cs="宋体"/>
          <w:color w:val="auto"/>
          <w:highlight w:val="none"/>
          <w:u w:val="none"/>
          <w:shd w:val="clear" w:color="auto" w:fill="auto"/>
          <w:lang w:val="en-US" w:eastAsia="zh-CN"/>
        </w:rPr>
      </w:pPr>
      <w:r>
        <w:rPr>
          <w:rFonts w:hint="eastAsia" w:ascii="宋体" w:hAnsi="宋体" w:eastAsia="宋体" w:cs="宋体"/>
          <w:color w:val="auto"/>
          <w:highlight w:val="none"/>
          <w:shd w:val="clear" w:color="auto" w:fill="auto"/>
        </w:rPr>
        <w:t xml:space="preserve">致：</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shd w:val="clear" w:color="auto" w:fill="auto"/>
          <w:lang w:val="en-US" w:eastAsia="zh-CN"/>
        </w:rPr>
        <w:t xml:space="preserve"> </w:t>
      </w:r>
      <w:r/>
    </w:p>
    <w:p>
      <w:pPr>
        <w:pStyle w:val="85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根据贵方的JSZC-</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号谈判文件，正式授权下述签字人______(姓名)代表我方______________（供应商的名称），全权处理本次项目谈判的有关事宜。</w:t>
      </w:r>
      <w:r/>
    </w:p>
    <w:p>
      <w:pPr>
        <w:pStyle w:val="85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85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1.按谈判文件规定的各项要求，向买方提供所需货物、服务（包含与货物相关的服务及与服务相关的货物）。</w:t>
      </w:r>
      <w:r/>
    </w:p>
    <w:p>
      <w:pPr>
        <w:pStyle w:val="85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2.我们已详细审核全部谈判文件及其有效补充文件，我们知道必须放弃提出含糊不清或误解问题的权利。</w:t>
      </w:r>
      <w:r/>
    </w:p>
    <w:p>
      <w:pPr>
        <w:pStyle w:val="85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3.我们同意从规定的开标日期起遵循本响应文件，并在规定的谈判有效期期满之前均具有约束力。</w:t>
      </w:r>
      <w:r/>
    </w:p>
    <w:p>
      <w:pPr>
        <w:pStyle w:val="85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4.同意向贵方提供贵方可能另外要求的与谈判有关的任何证据或资料，并保证我方已提供和将要提供的文件是真实的、准确的。</w:t>
      </w:r>
      <w:r/>
    </w:p>
    <w:p>
      <w:pPr>
        <w:pStyle w:val="856"/>
        <w:ind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5.一旦我方成交,我方将根据谈判文件的规定，严格履行合同的责任和义务,并保证在谈判文件规定的时间完成项目，交付买方验收、使用。</w:t>
      </w:r>
      <w:r/>
    </w:p>
    <w:p>
      <w:pPr>
        <w:pStyle w:val="856"/>
        <w:ind w:left="425"/>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6.我方与</w:t>
      </w:r>
      <w:r>
        <w:rPr>
          <w:rFonts w:hint="eastAsia" w:ascii="宋体" w:hAnsi="宋体" w:eastAsia="宋体" w:cs="宋体"/>
          <w:color w:val="auto"/>
          <w:highlight w:val="none"/>
          <w:shd w:val="clear" w:color="auto" w:fill="auto"/>
          <w:lang w:eastAsia="zh-CN"/>
        </w:rPr>
        <w:t xml:space="preserve">本次</w:t>
      </w:r>
      <w:r>
        <w:rPr>
          <w:rFonts w:hint="eastAsia" w:ascii="宋体" w:hAnsi="宋体" w:eastAsia="宋体" w:cs="宋体"/>
          <w:color w:val="auto"/>
          <w:highlight w:val="none"/>
          <w:shd w:val="clear" w:color="auto" w:fill="auto"/>
        </w:rPr>
        <w:t xml:space="preserve">谈判有关的正式通讯地址为：</w:t>
      </w:r>
      <w:r/>
    </w:p>
    <w:p>
      <w:pPr>
        <w:pStyle w:val="85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地址：</w:t>
      </w:r>
      <w:r/>
    </w:p>
    <w:p>
      <w:pPr>
        <w:pStyle w:val="85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p>
    <w:p>
      <w:pPr>
        <w:pStyle w:val="85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电话：</w:t>
      </w:r>
      <w:r/>
    </w:p>
    <w:p>
      <w:pPr>
        <w:pStyle w:val="85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传真：</w:t>
      </w:r>
      <w:r/>
    </w:p>
    <w:p>
      <w:pPr>
        <w:pStyle w:val="85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85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账号： </w:t>
      </w:r>
      <w:r/>
    </w:p>
    <w:p>
      <w:pPr>
        <w:pStyle w:val="856"/>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日期：________年____月____日</w:t>
      </w:r>
      <w:r/>
    </w:p>
    <w:p>
      <w:pPr>
        <w:pStyle w:val="85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240"/>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321"/>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clear="all"/>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w:t>
      </w:r>
      <w:r/>
    </w:p>
    <w:p>
      <w:p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lang w:val="en-US" w:eastAsia="zh-CN"/>
        </w:rPr>
        <w:t xml:space="preserve">东台市土地储备中心</w:t>
      </w:r>
      <w:r>
        <w:rPr>
          <w:rFonts w:hint="eastAsia" w:ascii="宋体" w:hAnsi="宋体" w:eastAsia="宋体" w:cs="宋体"/>
          <w:color w:val="auto"/>
          <w:sz w:val="24"/>
          <w:highlight w:val="none"/>
        </w:rPr>
        <w:t xml:space="preserve">组织的</w:t>
      </w:r>
      <w:r>
        <w:rPr>
          <w:rFonts w:hint="eastAsia" w:ascii="宋体" w:hAnsi="宋体" w:eastAsia="宋体" w:cs="宋体"/>
          <w:color w:val="auto"/>
          <w:sz w:val="24"/>
          <w:highlight w:val="none"/>
          <w:u w:val="single"/>
          <w:lang w:val="en-US" w:eastAsia="zh-CN"/>
        </w:rPr>
        <w:t xml:space="preserve">东台市土地储备中心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eastAsia="宋体" w:cs="宋体"/>
          <w:i/>
          <w:iCs/>
          <w:color w:val="auto"/>
          <w:sz w:val="24"/>
          <w:highlight w:val="none"/>
          <w:u w:val="single"/>
          <w:lang w:val="en-US" w:eastAsia="zh-CN"/>
        </w:rPr>
        <w:t xml:space="preserve">谈判</w:t>
      </w:r>
      <w:r>
        <w:rPr>
          <w:rFonts w:hint="eastAsia" w:ascii="宋体" w:hAnsi="宋体" w:eastAsia="宋体" w:cs="宋体"/>
          <w:i/>
          <w:iCs/>
          <w:color w:val="auto"/>
          <w:sz w:val="24"/>
          <w:highlight w:val="none"/>
          <w:u w:val="single"/>
        </w:rPr>
        <w:t xml:space="preserve">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1"/>
        </w:numPr>
        <w:ind w:left="0"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lang w:val="en-US" w:eastAsia="zh-CN"/>
        </w:rPr>
        <w:t xml:space="preserve">（谈判文件中明确的所属行</w:t>
      </w:r>
      <w:r>
        <w:rPr>
          <w:rFonts w:hint="eastAsia" w:ascii="宋体" w:hAnsi="宋体" w:eastAsia="宋体" w:cs="宋体"/>
          <w:i/>
          <w:iCs/>
          <w:color w:val="auto"/>
          <w:sz w:val="24"/>
          <w:highlight w:val="none"/>
          <w:u w:val="single"/>
        </w:rPr>
        <w:t xml:space="preserve">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856"/>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6"/>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56"/>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56"/>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56"/>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5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shd w:val="clear" w:color="auto" w:fill="auto"/>
        </w:rPr>
        <w:t xml:space="preserve"> 十、残疾人福利性单位声明函</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 xml:space="preserve">〔2017〕141号</w:t>
      </w:r>
      <w:r>
        <w:rPr>
          <w:rFonts w:hint="eastAsia" w:ascii="宋体" w:hAnsi="宋体" w:eastAsia="宋体" w:cs="宋体"/>
          <w:color w:val="auto"/>
          <w:highlight w:val="none"/>
          <w:shd w:val="clear" w:color="auto" w:fill="auto"/>
        </w:rPr>
        <w:t xml:space="preserve">）的规定，本单位为符合条件的残疾人福利性单位，且本单位参加______单位的</w:t>
      </w:r>
      <w:r>
        <w:rPr>
          <w:rFonts w:hint="eastAsia" w:ascii="宋体" w:hAnsi="宋体" w:eastAsia="宋体" w:cs="宋体"/>
          <w:color w:val="auto"/>
          <w:highlight w:val="none"/>
          <w:shd w:val="clear" w:color="auto" w:fill="auto"/>
          <w:lang w:val="en-US" w:eastAsia="zh-CN"/>
        </w:rPr>
        <w:t xml:space="preserve">谈判</w:t>
      </w:r>
      <w:r>
        <w:rPr>
          <w:rFonts w:hint="eastAsia" w:ascii="宋体" w:hAnsi="宋体" w:eastAsia="宋体" w:cs="宋体"/>
          <w:color w:val="auto"/>
          <w:highlight w:val="none"/>
          <w:shd w:val="clear" w:color="auto" w:fill="auto"/>
        </w:rPr>
        <w:t xml:space="preserve">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项目（分包号：**）采购活动提供本单位制造的货物，或者提供其他残疾人福利性单位制造的货物（不包括使用非残疾人福利性单位注册商标的货物）。</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本单位对上述声明的真实性负责。如有虚假，将依法承担相应责任。</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480"/>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备注：1、供应商如不提供此声明函，价格将不做相应扣除</w:t>
      </w:r>
      <w:r>
        <w:rPr>
          <w:rFonts w:hint="eastAsia" w:ascii="宋体" w:hAnsi="宋体" w:eastAsia="宋体" w:cs="宋体"/>
          <w:color w:val="auto"/>
          <w:highlight w:val="none"/>
          <w:shd w:val="clear" w:color="auto" w:fill="auto"/>
          <w:lang w:eastAsia="zh-CN"/>
        </w:rPr>
        <w:t xml:space="preserve">（如项目全面面向中小企业，则资格审查不通过）</w:t>
      </w:r>
      <w:r>
        <w:rPr>
          <w:rFonts w:hint="eastAsia" w:ascii="宋体" w:hAnsi="宋体" w:eastAsia="宋体" w:cs="宋体"/>
          <w:color w:val="auto"/>
          <w:highlight w:val="none"/>
          <w:shd w:val="clear" w:color="auto" w:fill="auto"/>
        </w:rPr>
        <w:t xml:space="preserve">。2、成交供应商为残疾人福利单位的，此声明函将随成交结果同时公告，接受社会监督</w:t>
      </w:r>
      <w:r/>
    </w:p>
    <w:p>
      <w:pPr>
        <w:pStyle w:val="856"/>
        <w:ind w:firstLine="624"/>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shd w:val="clear" w:color="auto" w:fill="auto"/>
        </w:rPr>
      </w:pPr>
      <w:r>
        <w:rPr>
          <w:rFonts w:hint="eastAsia" w:ascii="宋体" w:hAnsi="宋体" w:eastAsia="宋体" w:cs="宋体"/>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xml:space="preserve">供应商全称（加盖CA电子公章）：</w:t>
      </w:r>
      <w:r/>
    </w:p>
    <w:p>
      <w:pPr>
        <w:pStyle w:val="856"/>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日  期：</w:t>
      </w:r>
      <w:r/>
    </w:p>
    <w:p>
      <w:pPr>
        <w:pStyle w:val="85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clear="all"/>
      </w:r>
      <w:r/>
    </w:p>
    <w:p>
      <w:pPr>
        <w:pStyle w:val="85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十一、联合体协议（参考格式）</w:t>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（联合体中各供应商全称）在此达成以下协议：</w:t>
      </w:r>
      <w:r/>
    </w:p>
    <w:p>
      <w:pPr>
        <w:pStyle w:val="856"/>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1、我们</w:t>
      </w:r>
      <w:r>
        <w:rPr>
          <w:rFonts w:hint="eastAsia" w:ascii="宋体" w:hAnsi="宋体" w:eastAsia="宋体" w:cs="宋体"/>
          <w:color w:val="auto"/>
          <w:highlight w:val="none"/>
          <w:u w:val="single"/>
          <w:shd w:val="clear" w:color="auto" w:fill="auto"/>
        </w:rPr>
        <w:t xml:space="preserve"> （供应商1），（供应商2） ，……</w:t>
      </w:r>
      <w:r>
        <w:rPr>
          <w:rFonts w:hint="eastAsia" w:ascii="宋体" w:hAnsi="宋体" w:eastAsia="宋体" w:cs="宋体"/>
          <w:color w:val="auto"/>
          <w:highlight w:val="none"/>
          <w:shd w:val="clear" w:color="auto" w:fill="auto"/>
        </w:rPr>
        <w:t xml:space="preserve">自愿组成联合体，参加</w:t>
      </w:r>
      <w:r>
        <w:rPr>
          <w:rFonts w:hint="eastAsia" w:ascii="宋体" w:hAnsi="宋体" w:eastAsia="宋体" w:cs="宋体"/>
          <w:color w:val="auto"/>
          <w:highlight w:val="none"/>
          <w:shd w:val="clear" w:color="auto" w:fill="auto"/>
          <w:lang w:val="en-US" w:eastAsia="zh-CN"/>
        </w:rPr>
        <w:t xml:space="preserve">东台市土地储备中心</w:t>
      </w:r>
      <w:r>
        <w:rPr>
          <w:rFonts w:hint="eastAsia" w:ascii="宋体" w:hAnsi="宋体" w:eastAsia="宋体" w:cs="宋体"/>
          <w:color w:val="auto"/>
          <w:highlight w:val="none"/>
          <w:shd w:val="clear" w:color="auto" w:fill="auto"/>
        </w:rPr>
        <w:t xml:space="preserve">组织的采购编号为</w:t>
      </w:r>
      <w:r>
        <w:rPr>
          <w:rFonts w:hint="eastAsia" w:ascii="宋体" w:hAnsi="宋体" w:eastAsia="宋体" w:cs="宋体"/>
          <w:color w:val="auto"/>
          <w:highlight w:val="none"/>
          <w:u w:val="single"/>
          <w:shd w:val="clear" w:color="auto" w:fill="auto"/>
        </w:rPr>
        <w:t xml:space="preserve">（编号全称），（项目全称）</w:t>
      </w:r>
      <w:r>
        <w:rPr>
          <w:rFonts w:hint="eastAsia" w:ascii="宋体" w:hAnsi="宋体" w:eastAsia="宋体" w:cs="宋体"/>
          <w:color w:val="auto"/>
          <w:highlight w:val="none"/>
          <w:shd w:val="clear" w:color="auto" w:fill="auto"/>
        </w:rPr>
        <w:t xml:space="preserve">项目（分包号：**）的政府采购活动，我联合体指定</w:t>
      </w:r>
      <w:r>
        <w:rPr>
          <w:rFonts w:hint="eastAsia" w:ascii="宋体" w:hAnsi="宋体" w:eastAsia="宋体" w:cs="宋体"/>
          <w:color w:val="auto"/>
          <w:highlight w:val="none"/>
          <w:u w:val="single"/>
          <w:shd w:val="clear" w:color="auto" w:fill="auto"/>
        </w:rPr>
        <w:t xml:space="preserve">（供应商*）</w:t>
      </w:r>
      <w:r>
        <w:rPr>
          <w:rFonts w:hint="eastAsia" w:ascii="宋体" w:hAnsi="宋体" w:eastAsia="宋体" w:cs="宋体"/>
          <w:color w:val="auto"/>
          <w:highlight w:val="none"/>
          <w:shd w:val="clear" w:color="auto" w:fill="auto"/>
        </w:rPr>
        <w:t xml:space="preserve">为牵头单位（牵头单位必须为联合体成员）。</w:t>
      </w:r>
      <w:r/>
    </w:p>
    <w:p>
      <w:pPr>
        <w:pStyle w:val="856"/>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56"/>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3、其中</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（小型、微型企业/残疾人福利性单位/监狱企业全称）为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856"/>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备注：本谈判文件中要求加盖CA电子公章的地方，仅需加盖牵头单位的CA电子公章。</w:t>
      </w:r>
      <w:r/>
    </w:p>
    <w:p>
      <w:pPr>
        <w:pStyle w:val="856"/>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ind w:firstLine="645"/>
        <w:jc w:val="right"/>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联合体中各供应商全称（公章）：     </w:t>
      </w:r>
      <w:r/>
    </w:p>
    <w:p>
      <w:pPr>
        <w:pStyle w:val="856"/>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日期：</w:t>
      </w:r>
      <w:r/>
    </w:p>
    <w:p>
      <w:pPr>
        <w:pStyle w:val="856"/>
        <w:ind w:firstLine="645"/>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clear="all"/>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十二、分项报价表（服务类）</w:t>
      </w:r>
      <w:r/>
    </w:p>
    <w:tbl>
      <w:tblPr>
        <w:tblStyle w:val="8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492"/>
        <w:gridCol w:w="1196"/>
        <w:gridCol w:w="1035"/>
        <w:gridCol w:w="1832"/>
        <w:gridCol w:w="2039"/>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分项服务名称</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分项单位</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w:t>
            </w:r>
            <w:r/>
          </w:p>
          <w:p>
            <w:pPr>
              <w:ind w:left="0" w:right="0" w:firstLine="0"/>
              <w:jc w:val="center"/>
              <w:spacing w:before="240" w:after="240" w:line="240" w:lineRule="auto"/>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分项</w:t>
            </w:r>
            <w:r/>
          </w:p>
          <w:p>
            <w:pPr>
              <w:ind w:left="0" w:right="0" w:firstLine="0"/>
              <w:jc w:val="center"/>
              <w:spacing w:before="240" w:after="240" w:line="240" w:lineRule="auto"/>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总价</w:t>
            </w:r>
            <w:r/>
          </w:p>
        </w:tc>
      </w:tr>
      <w:tr>
        <w:trPr>
          <w:trHeight w:val="654"/>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48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9" w:type="dxa"/>
            <w:vAlign w:val="center"/>
            <w:textDirection w:val="lrTb"/>
            <w:noWrap w:val="false"/>
          </w:tcPr>
          <w:p>
            <w:pPr>
              <w:ind w:left="0" w:right="0" w:firstLine="0"/>
              <w:jc w:val="center"/>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9" w:type="dxa"/>
            <w:vAlign w:val="center"/>
            <w:textDirection w:val="lrTb"/>
            <w:noWrap w:val="false"/>
          </w:tcPr>
          <w:p>
            <w:pPr>
              <w:ind w:left="0" w:right="0" w:firstLine="0"/>
              <w:jc w:val="both"/>
              <w:spacing w:before="240" w:after="24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备注： 谈判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clear="all"/>
      </w:r>
      <w:r/>
    </w:p>
    <w:p>
      <w:pPr>
        <w:pStyle w:val="856"/>
        <w:jc w:val="center"/>
        <w:spacing w:beforeAutospacing="0" w:afterAutospacing="0"/>
        <w:rPr>
          <w:rFonts w:hint="eastAsia" w:ascii="宋体" w:hAnsi="宋体" w:eastAsia="宋体" w:cs="宋体"/>
          <w:color w:val="auto"/>
          <w:highlight w:val="none"/>
          <w:shd w:val="clear" w:color="auto" w:fill="auto"/>
          <w:lang w:eastAsia="zh-CN"/>
        </w:rPr>
      </w:pPr>
      <w:r>
        <w:rPr>
          <w:rFonts w:hint="eastAsia" w:ascii="宋体" w:hAnsi="宋体" w:eastAsia="宋体" w:cs="宋体"/>
          <w:b/>
          <w:color w:val="auto"/>
          <w:sz w:val="32"/>
          <w:szCs w:val="32"/>
          <w:highlight w:val="none"/>
          <w:shd w:val="clear" w:color="auto" w:fill="auto"/>
        </w:rPr>
        <w:t xml:space="preserve">十三、技术要求响应及偏离表</w:t>
      </w:r>
      <w:r>
        <w:rPr>
          <w:rFonts w:hint="eastAsia" w:ascii="宋体" w:hAnsi="宋体" w:eastAsia="宋体" w:cs="宋体"/>
          <w:b/>
          <w:color w:val="auto"/>
          <w:sz w:val="32"/>
          <w:szCs w:val="32"/>
          <w:highlight w:val="none"/>
          <w:shd w:val="clear" w:color="auto" w:fill="auto"/>
          <w:lang w:val="en-US" w:eastAsia="zh-CN"/>
        </w:rPr>
        <w:t xml:space="preserve"> </w:t>
      </w:r>
      <w:r/>
    </w:p>
    <w:tbl>
      <w:tblPr>
        <w:tblStyle w:val="8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谈判文件要求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tc>
      </w:tr>
    </w:tbl>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十四、商务要求响应及偏离表</w:t>
      </w:r>
      <w:r>
        <w:rPr>
          <w:rFonts w:hint="eastAsia" w:ascii="宋体" w:hAnsi="宋体" w:eastAsia="宋体" w:cs="宋体"/>
          <w:b/>
          <w:color w:val="auto"/>
          <w:sz w:val="32"/>
          <w:szCs w:val="32"/>
          <w:highlight w:val="none"/>
          <w:lang w:val="en-US" w:eastAsia="zh-CN"/>
        </w:rPr>
        <w:t xml:space="preserve"> </w:t>
      </w:r>
      <w:r/>
    </w:p>
    <w:tbl>
      <w:tblPr>
        <w:tblStyle w:val="8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谈判</w:t>
            </w:r>
            <w:r>
              <w:rPr>
                <w:rFonts w:hint="eastAsia" w:ascii="宋体" w:hAnsi="宋体" w:eastAsia="宋体" w:cs="宋体"/>
                <w:color w:val="auto"/>
                <w:highlight w:val="none"/>
              </w:rPr>
              <w:t xml:space="preserve">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shd w:val="nil"/>
        <w:rPr>
          <w:rFonts w:hint="eastAsia" w:ascii="宋体" w:hAnsi="宋体" w:eastAsia="宋体" w:cs="宋体"/>
          <w:color w:val="auto"/>
          <w:highlight w:val="none"/>
        </w:rPr>
      </w:pPr>
      <w:r>
        <w:rPr>
          <w:rFonts w:hint="eastAsia" w:ascii="宋体" w:hAnsi="宋体" w:eastAsia="宋体" w:cs="宋体"/>
          <w:b/>
          <w:i/>
          <w:color w:val="auto"/>
          <w:sz w:val="32"/>
          <w:szCs w:val="32"/>
          <w:highlight w:val="none"/>
          <w:u w:val="single"/>
        </w:rPr>
        <w:br w:type="page" w:clear="all"/>
      </w:r>
      <w:r>
        <w:rPr>
          <w:rFonts w:hint="eastAsia" w:ascii="宋体" w:hAnsi="宋体" w:eastAsia="宋体" w:cs="宋体"/>
          <w:b/>
          <w:i/>
          <w:color w:val="auto"/>
          <w:sz w:val="32"/>
          <w:szCs w:val="32"/>
          <w:highlight w:val="none"/>
          <w:u w:val="single"/>
        </w:rPr>
      </w:r>
    </w:p>
    <w:p>
      <w:pPr>
        <w:pStyle w:val="856"/>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i/>
          <w:color w:val="auto"/>
          <w:sz w:val="32"/>
          <w:szCs w:val="32"/>
          <w:highlight w:val="none"/>
          <w:u w:val="single"/>
        </w:rPr>
        <w:t xml:space="preserve">十五、开标一览表</w:t>
      </w:r>
      <w:r/>
    </w:p>
    <w:p>
      <w:pPr>
        <w:pStyle w:val="8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8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8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8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84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6"/>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8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jc w:val="center"/>
        <w:spacing w:before="50" w:after="50"/>
        <w:widowControl/>
        <w:rPr>
          <w:rFonts w:hint="eastAsia" w:ascii="宋体" w:hAnsi="宋体" w:eastAsia="宋体" w:cs="宋体"/>
          <w:color w:val="auto"/>
          <w:sz w:val="32"/>
          <w:szCs w:val="32"/>
          <w:highlight w:val="none"/>
          <w:shd w:val="clear" w:color="auto" w:fill="auto"/>
        </w:rPr>
      </w:pPr>
      <w:r/>
      <w:bookmarkStart w:id="175" w:name="_Hlt26955054"/>
      <w:r/>
      <w:r/>
    </w:p>
    <w:p>
      <w:pPr>
        <w:jc w:val="center"/>
        <w:spacing w:before="50" w:after="50"/>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br w:type="page" w:clear="all"/>
      </w:r>
      <w:r/>
    </w:p>
    <w:p>
      <w:pPr>
        <w:jc w:val="center"/>
        <w:spacing w:before="50" w:after="50"/>
        <w:widowControl/>
        <w:rPr>
          <w:rFonts w:hint="eastAsia" w:ascii="宋体" w:hAnsi="宋体" w:eastAsia="宋体" w:cs="宋体"/>
          <w:b/>
          <w:bCs/>
          <w:i/>
          <w:iCs/>
          <w:color w:val="auto"/>
          <w:sz w:val="24"/>
          <w:highlight w:val="none"/>
          <w:u w:val="single"/>
          <w:shd w:val="clear" w:color="auto" w:fill="auto"/>
        </w:rPr>
      </w:pPr>
      <w:r>
        <w:rPr>
          <w:rFonts w:hint="eastAsia" w:ascii="宋体" w:hAnsi="宋体" w:eastAsia="宋体" w:cs="宋体"/>
          <w:b/>
          <w:bCs/>
          <w:i/>
          <w:iCs/>
          <w:color w:val="auto"/>
          <w:sz w:val="32"/>
          <w:szCs w:val="32"/>
          <w:highlight w:val="none"/>
          <w:u w:val="single"/>
          <w:shd w:val="clear" w:color="auto" w:fill="auto"/>
        </w:rPr>
        <w:t xml:space="preserve">十</w:t>
      </w:r>
      <w:r>
        <w:rPr>
          <w:rFonts w:hint="eastAsia" w:ascii="宋体" w:hAnsi="宋体" w:eastAsia="宋体" w:cs="宋体"/>
          <w:b/>
          <w:bCs/>
          <w:i/>
          <w:iCs/>
          <w:color w:val="auto"/>
          <w:sz w:val="32"/>
          <w:szCs w:val="32"/>
          <w:highlight w:val="none"/>
          <w:u w:val="single"/>
          <w:shd w:val="clear" w:color="auto" w:fill="auto"/>
          <w:lang w:val="en-US" w:eastAsia="zh-CN"/>
        </w:rPr>
        <w:t xml:space="preserve">六</w:t>
      </w:r>
      <w:r>
        <w:rPr>
          <w:rFonts w:hint="eastAsia" w:ascii="宋体" w:hAnsi="宋体" w:eastAsia="宋体" w:cs="宋体"/>
          <w:b/>
          <w:bCs/>
          <w:i/>
          <w:iCs/>
          <w:color w:val="auto"/>
          <w:sz w:val="32"/>
          <w:szCs w:val="32"/>
          <w:highlight w:val="none"/>
          <w:u w:val="single"/>
          <w:shd w:val="clear" w:color="auto" w:fill="auto"/>
        </w:rPr>
        <w:t xml:space="preserve">、服务承诺</w:t>
      </w:r>
      <w:r/>
    </w:p>
    <w:p>
      <w:pPr>
        <w:pStyle w:val="856"/>
        <w:jc w:val="both"/>
        <w:spacing w:beforeAutospacing="0" w:afterAutospacing="0"/>
        <w:tabs>
          <w:tab w:val="left" w:pos="2160"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20"/>
        <w:spacing w:line="499" w:lineRule="atLeast"/>
        <w:widowControl/>
        <w:rPr>
          <w:rFonts w:hint="default"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格式由采购人另册提供。</w:t>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br w:type="page" w:clear="all"/>
      </w:r>
      <w:r/>
    </w:p>
    <w:p>
      <w:pPr>
        <w:ind w:firstLine="1600"/>
        <w:spacing w:line="499" w:lineRule="atLeast"/>
        <w:widowControl/>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七</w:t>
      </w:r>
      <w:r>
        <w:rPr>
          <w:rFonts w:hint="eastAsia" w:ascii="宋体" w:hAnsi="宋体" w:eastAsia="宋体" w:cs="宋体"/>
          <w:b/>
          <w:bCs/>
          <w:color w:val="auto"/>
          <w:sz w:val="32"/>
          <w:szCs w:val="32"/>
          <w:highlight w:val="none"/>
          <w:shd w:val="clear" w:color="auto" w:fill="auto"/>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 </w:t>
      </w: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法定代表人签名：</w:t>
      </w:r>
      <w:r/>
    </w:p>
    <w:p>
      <w:pPr>
        <w:jc w:val="center"/>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月</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日</w:t>
      </w:r>
      <w:r/>
    </w:p>
    <w:p>
      <w:pPr>
        <w:pStyle w:val="856"/>
        <w:jc w:val="both"/>
        <w:spacing w:beforeAutospacing="0" w:afterAutospacing="0" w:line="480" w:lineRule="auto"/>
        <w:rPr>
          <w:rFonts w:hint="eastAsia" w:ascii="宋体" w:hAnsi="宋体" w:eastAsia="宋体" w:cs="宋体"/>
          <w:color w:val="auto"/>
          <w:highlight w:val="none"/>
          <w:shd w:val="clear" w:color="auto" w:fill="auto"/>
        </w:rPr>
      </w:pPr>
      <w:r/>
      <w:bookmarkStart w:id="176" w:name="_Hlt26955066"/>
      <w:r/>
      <w:bookmarkStart w:id="177" w:name="_格式2__法定代表人授权书"/>
      <w:r/>
      <w:bookmarkStart w:id="178" w:name="_Hlt26609389"/>
      <w:r/>
      <w:bookmarkStart w:id="179" w:name="_Hlt26671374"/>
      <w:r/>
      <w:bookmarkStart w:id="180" w:name="_Toc462564146"/>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bookmarkEnd w:id="6"/>
      <w:r/>
      <w:bookmarkEnd w:id="37"/>
      <w:r/>
      <w:bookmarkEnd w:id="84"/>
      <w:r/>
      <w:bookmarkEnd w:id="85"/>
      <w:r/>
      <w:bookmarkEnd w:id="86"/>
      <w:r/>
      <w:bookmarkEnd w:id="87"/>
      <w:r/>
      <w:bookmarkEnd w:id="88"/>
      <w:r/>
      <w:bookmarkEnd w:id="89"/>
      <w:r/>
      <w:bookmarkEnd w:id="90"/>
      <w:r/>
      <w:bookmarkEnd w:id="91"/>
      <w:r/>
      <w:bookmarkEnd w:id="100"/>
      <w:r/>
      <w:bookmarkEnd w:id="101"/>
      <w:r/>
      <w:bookmarkEnd w:id="108"/>
      <w:r/>
      <w:bookmarkEnd w:id="150"/>
      <w:r/>
      <w:bookmarkEnd w:id="151"/>
      <w:r/>
      <w:bookmarkEnd w:id="165"/>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clear="all"/>
      </w:r>
      <w:r/>
    </w:p>
    <w:p>
      <w:pPr>
        <w:jc w:val="left"/>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t xml:space="preserve">附件：</w:t>
      </w:r>
      <w:r/>
    </w:p>
    <w:p>
      <w:pPr>
        <w:jc w:val="cente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t xml:space="preserve">东台市沿海湿地与岸线生态环境综合治理服务项目（一期）</w:t>
      </w:r>
      <w:r/>
    </w:p>
    <w:p>
      <w:pPr>
        <w:jc w:val="cente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shd w:val="clear" w:color="auto" w:fill="auto"/>
        </w:rPr>
        <w:t xml:space="preserve">谈判前答疑会</w:t>
      </w:r>
      <w:r>
        <w:rPr>
          <w:rFonts w:hint="eastAsia" w:ascii="宋体" w:hAnsi="宋体" w:eastAsia="宋体" w:cs="宋体"/>
          <w:b/>
          <w:bCs/>
          <w:color w:val="auto"/>
          <w:sz w:val="44"/>
          <w:szCs w:val="44"/>
          <w:highlight w:val="none"/>
          <w:shd w:val="clear" w:color="auto" w:fill="auto"/>
          <w:lang w:val="en-US" w:eastAsia="zh-CN"/>
        </w:rPr>
        <w:t xml:space="preserve">要求</w:t>
      </w:r>
      <w:r/>
    </w:p>
    <w:p>
      <w:pPr>
        <w:ind w:firstLine="640"/>
        <w:keepLines w:val="0"/>
        <w:keepNext w:val="0"/>
        <w:pageBreakBefore w:val="0"/>
        <w:spacing w:line="44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r>
      <w:r/>
    </w:p>
    <w:p>
      <w:pPr>
        <w:ind w:firstLine="640"/>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为进一步推进本项目的有序、高效实施，本项目采购人根据项目的实际情况组织各供应商在谈判前召开答疑会，具体要求如下：</w:t>
      </w:r>
      <w:r/>
    </w:p>
    <w:p>
      <w:pPr>
        <w:ind w:firstLine="640"/>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1、谈判前答疑会时间：2025年11月20日9时</w:t>
      </w:r>
      <w:r/>
    </w:p>
    <w:p>
      <w:pPr>
        <w:ind w:firstLine="640"/>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2、谈判前答疑会地点：东台市土地储备中心（东台市广场路8号）七楼会议室</w:t>
      </w:r>
      <w:r/>
    </w:p>
    <w:p>
      <w:pPr>
        <w:ind w:firstLine="640"/>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3、谈判前答疑会参加人员：各供应商的法定代表人或授权委托代理人；法定代表人参加的携带本人身份证原件，授权委托代理人参加的携带本人身份证原件和授权委托书原件</w:t>
      </w:r>
      <w:r/>
    </w:p>
    <w:p>
      <w:pPr>
        <w:ind w:firstLine="640"/>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r>
      <w:r/>
    </w:p>
    <w:p>
      <w:pPr>
        <w:ind w:firstLine="640"/>
        <w:jc w:val="right"/>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r>
      <w:r/>
    </w:p>
    <w:p>
      <w:pPr>
        <w:ind w:firstLine="640"/>
        <w:jc w:val="right"/>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东台市土地储备中心</w:t>
      </w:r>
      <w:r/>
    </w:p>
    <w:p>
      <w:pPr>
        <w:ind w:firstLine="640"/>
        <w:jc w:val="right"/>
        <w:keepLines w:val="0"/>
        <w:keepNext w:val="0"/>
        <w:pageBreakBefore w:val="0"/>
        <w:spacing w:line="560" w:lineRule="exact"/>
        <w:widowControl w:val="off"/>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 xml:space="preserve">2025年11月14日</w:t>
      </w:r>
      <w:r/>
    </w:p>
    <w:p>
      <w:pP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br w:type="page" w:clear="all"/>
      </w:r>
      <w:r/>
    </w:p>
    <w:p>
      <w:pPr>
        <w:pStyle w:val="856"/>
        <w:jc w:val="center"/>
        <w:spacing w:beforeAutospacing="0" w:afterAutospacing="0"/>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856"/>
        <w:jc w:val="both"/>
        <w:spacing w:before="290"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谈判</w:t>
      </w:r>
      <w:r>
        <w:rPr>
          <w:rFonts w:hint="eastAsia" w:ascii="宋体" w:hAnsi="宋体" w:eastAsia="宋体" w:cs="宋体"/>
          <w:color w:val="auto"/>
          <w:highlight w:val="none"/>
          <w:shd w:val="clear" w:color="auto" w:fill="auto"/>
        </w:rPr>
        <w:t xml:space="preserve">文件获取日期：</w:t>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856"/>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856"/>
        <w:jc w:val="both"/>
        <w:spacing w:beforeAutospacing="0" w:afterAutospacing="0"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856"/>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856"/>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856"/>
        <w:ind w:firstLine="480"/>
        <w:spacing w:beforeAutospacing="0" w:afterAutospacing="0" w:line="0" w:lineRule="atLeas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856"/>
        <w:ind w:firstLine="480"/>
        <w:spacing w:beforeAutospacing="0" w:afterAutospacing="0" w:line="0" w:lineRule="atLeas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6"/>
        <w:ind w:firstLine="480"/>
        <w:spacing w:beforeAutospacing="0" w:afterAutospacing="0" w:line="0" w:lineRule="atLeas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856"/>
        <w:ind w:firstLine="480"/>
        <w:spacing w:beforeAutospacing="0" w:afterAutospacing="0" w:line="0" w:lineRule="atLeas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856"/>
        <w:ind w:firstLine="480"/>
        <w:spacing w:beforeAutospacing="0" w:afterAutospacing="0" w:line="0" w:lineRule="atLeas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856"/>
        <w:ind w:firstLine="480"/>
        <w:spacing w:beforeAutospacing="0" w:afterAutospacing="0" w:line="0" w:lineRule="atLeas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856"/>
        <w:jc w:val="center"/>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sectPr>
      <w:footerReference w:type="default" r:id="rId9"/>
      <w:footnotePr/>
      <w:endnotePr/>
      <w:type w:val="nextPage"/>
      <w:pgSz w:w="11906" w:h="16838" w:orient="portrait"/>
      <w:pgMar w:top="1417" w:right="1304" w:bottom="1417"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name w:val="Heading 1"/>
    <w:basedOn w:val="845"/>
    <w:next w:val="845"/>
    <w:link w:val="672"/>
    <w:uiPriority w:val="9"/>
    <w:qFormat/>
    <w:pPr>
      <w:keepLines/>
      <w:keepNext/>
      <w:spacing w:before="480" w:after="200"/>
      <w:outlineLvl w:val="0"/>
    </w:pPr>
    <w:rPr>
      <w:rFonts w:ascii="Arial" w:hAnsi="Arial" w:eastAsia="Arial" w:cs="Arial"/>
      <w:sz w:val="40"/>
      <w:szCs w:val="40"/>
    </w:rPr>
  </w:style>
  <w:style w:type="character" w:styleId="672">
    <w:name w:val="Heading 1 Char"/>
    <w:basedOn w:val="847"/>
    <w:link w:val="671"/>
    <w:uiPriority w:val="9"/>
    <w:rPr>
      <w:rFonts w:ascii="Arial" w:hAnsi="Arial" w:eastAsia="Arial" w:cs="Arial"/>
      <w:sz w:val="40"/>
      <w:szCs w:val="40"/>
    </w:rPr>
  </w:style>
  <w:style w:type="character" w:styleId="673">
    <w:name w:val="Heading 2 Char"/>
    <w:basedOn w:val="847"/>
    <w:link w:val="846"/>
    <w:uiPriority w:val="9"/>
    <w:rPr>
      <w:rFonts w:ascii="Arial" w:hAnsi="Arial" w:eastAsia="Arial" w:cs="Arial"/>
      <w:sz w:val="34"/>
    </w:rPr>
  </w:style>
  <w:style w:type="paragraph" w:styleId="674">
    <w:name w:val="Heading 3"/>
    <w:basedOn w:val="845"/>
    <w:next w:val="845"/>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basedOn w:val="847"/>
    <w:link w:val="674"/>
    <w:uiPriority w:val="9"/>
    <w:rPr>
      <w:rFonts w:ascii="Arial" w:hAnsi="Arial" w:eastAsia="Arial" w:cs="Arial"/>
      <w:sz w:val="30"/>
      <w:szCs w:val="30"/>
    </w:rPr>
  </w:style>
  <w:style w:type="paragraph" w:styleId="676">
    <w:name w:val="Heading 4"/>
    <w:basedOn w:val="845"/>
    <w:next w:val="845"/>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basedOn w:val="847"/>
    <w:link w:val="676"/>
    <w:uiPriority w:val="9"/>
    <w:rPr>
      <w:rFonts w:ascii="Arial" w:hAnsi="Arial" w:eastAsia="Arial" w:cs="Arial"/>
      <w:b/>
      <w:bCs/>
      <w:sz w:val="26"/>
      <w:szCs w:val="26"/>
    </w:rPr>
  </w:style>
  <w:style w:type="paragraph" w:styleId="678">
    <w:name w:val="Heading 5"/>
    <w:basedOn w:val="845"/>
    <w:next w:val="84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basedOn w:val="847"/>
    <w:link w:val="678"/>
    <w:uiPriority w:val="9"/>
    <w:rPr>
      <w:rFonts w:ascii="Arial" w:hAnsi="Arial" w:eastAsia="Arial" w:cs="Arial"/>
      <w:b/>
      <w:bCs/>
      <w:sz w:val="24"/>
      <w:szCs w:val="24"/>
    </w:rPr>
  </w:style>
  <w:style w:type="paragraph" w:styleId="680">
    <w:name w:val="Heading 6"/>
    <w:basedOn w:val="845"/>
    <w:next w:val="845"/>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basedOn w:val="847"/>
    <w:link w:val="680"/>
    <w:uiPriority w:val="9"/>
    <w:rPr>
      <w:rFonts w:ascii="Arial" w:hAnsi="Arial" w:eastAsia="Arial" w:cs="Arial"/>
      <w:b/>
      <w:bCs/>
      <w:sz w:val="22"/>
      <w:szCs w:val="22"/>
    </w:rPr>
  </w:style>
  <w:style w:type="paragraph" w:styleId="682">
    <w:name w:val="Heading 7"/>
    <w:basedOn w:val="845"/>
    <w:next w:val="845"/>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7"/>
    <w:link w:val="682"/>
    <w:uiPriority w:val="9"/>
    <w:rPr>
      <w:rFonts w:ascii="Arial" w:hAnsi="Arial" w:eastAsia="Arial" w:cs="Arial"/>
      <w:b/>
      <w:bCs/>
      <w:i/>
      <w:iCs/>
      <w:sz w:val="22"/>
      <w:szCs w:val="22"/>
    </w:rPr>
  </w:style>
  <w:style w:type="paragraph" w:styleId="684">
    <w:name w:val="Heading 8"/>
    <w:basedOn w:val="845"/>
    <w:next w:val="845"/>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7"/>
    <w:link w:val="684"/>
    <w:uiPriority w:val="9"/>
    <w:rPr>
      <w:rFonts w:ascii="Arial" w:hAnsi="Arial" w:eastAsia="Arial" w:cs="Arial"/>
      <w:i/>
      <w:iCs/>
      <w:sz w:val="22"/>
      <w:szCs w:val="22"/>
    </w:rPr>
  </w:style>
  <w:style w:type="paragraph" w:styleId="686">
    <w:name w:val="Heading 9"/>
    <w:basedOn w:val="845"/>
    <w:next w:val="845"/>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7"/>
    <w:link w:val="686"/>
    <w:uiPriority w:val="9"/>
    <w:rPr>
      <w:rFonts w:ascii="Arial" w:hAnsi="Arial" w:eastAsia="Arial" w:cs="Arial"/>
      <w:i/>
      <w:iCs/>
      <w:sz w:val="21"/>
      <w:szCs w:val="21"/>
    </w:rPr>
  </w:style>
  <w:style w:type="paragraph" w:styleId="688">
    <w:name w:val="List Paragraph"/>
    <w:basedOn w:val="845"/>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5"/>
    <w:next w:val="845"/>
    <w:link w:val="691"/>
    <w:uiPriority w:val="10"/>
    <w:qFormat/>
    <w:pPr>
      <w:contextualSpacing/>
      <w:spacing w:before="300" w:after="200"/>
    </w:pPr>
    <w:rPr>
      <w:sz w:val="48"/>
      <w:szCs w:val="48"/>
    </w:rPr>
  </w:style>
  <w:style w:type="character" w:styleId="691">
    <w:name w:val="Title Char"/>
    <w:basedOn w:val="847"/>
    <w:link w:val="690"/>
    <w:uiPriority w:val="10"/>
    <w:rPr>
      <w:sz w:val="48"/>
      <w:szCs w:val="48"/>
    </w:rPr>
  </w:style>
  <w:style w:type="paragraph" w:styleId="692">
    <w:name w:val="Subtitle"/>
    <w:basedOn w:val="845"/>
    <w:next w:val="845"/>
    <w:link w:val="693"/>
    <w:uiPriority w:val="11"/>
    <w:qFormat/>
    <w:pPr>
      <w:spacing w:before="200" w:after="200"/>
    </w:pPr>
    <w:rPr>
      <w:sz w:val="24"/>
      <w:szCs w:val="24"/>
    </w:rPr>
  </w:style>
  <w:style w:type="character" w:styleId="693">
    <w:name w:val="Subtitle Char"/>
    <w:basedOn w:val="847"/>
    <w:link w:val="692"/>
    <w:uiPriority w:val="11"/>
    <w:rPr>
      <w:sz w:val="24"/>
      <w:szCs w:val="24"/>
    </w:rPr>
  </w:style>
  <w:style w:type="paragraph" w:styleId="694">
    <w:name w:val="Quote"/>
    <w:basedOn w:val="845"/>
    <w:next w:val="845"/>
    <w:link w:val="695"/>
    <w:uiPriority w:val="29"/>
    <w:qFormat/>
    <w:pPr>
      <w:ind w:left="720" w:right="720"/>
    </w:pPr>
    <w:rPr>
      <w:i/>
    </w:rPr>
  </w:style>
  <w:style w:type="character" w:styleId="695">
    <w:name w:val="Quote Char"/>
    <w:link w:val="694"/>
    <w:uiPriority w:val="29"/>
    <w:rPr>
      <w:i/>
    </w:rPr>
  </w:style>
  <w:style w:type="paragraph" w:styleId="696">
    <w:name w:val="Intense Quote"/>
    <w:basedOn w:val="845"/>
    <w:next w:val="845"/>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7"/>
    <w:link w:val="855"/>
    <w:uiPriority w:val="99"/>
  </w:style>
  <w:style w:type="character" w:styleId="699">
    <w:name w:val="Footer Char"/>
    <w:basedOn w:val="847"/>
    <w:link w:val="854"/>
    <w:uiPriority w:val="99"/>
  </w:style>
  <w:style w:type="paragraph" w:styleId="700">
    <w:name w:val="Caption"/>
    <w:basedOn w:val="845"/>
    <w:next w:val="845"/>
    <w:uiPriority w:val="35"/>
    <w:semiHidden/>
    <w:unhideWhenUsed/>
    <w:qFormat/>
    <w:pPr>
      <w:spacing w:line="276" w:lineRule="auto"/>
    </w:pPr>
    <w:rPr>
      <w:b/>
      <w:bCs/>
      <w:color w:val="4f81bd" w:themeColor="accent1"/>
      <w:sz w:val="18"/>
      <w:szCs w:val="18"/>
    </w:rPr>
  </w:style>
  <w:style w:type="character" w:styleId="701">
    <w:name w:val="Caption Char"/>
    <w:basedOn w:val="700"/>
    <w:link w:val="854"/>
    <w:uiPriority w:val="99"/>
  </w:style>
  <w:style w:type="table" w:styleId="702">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8">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9">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0">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1">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2">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3">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0">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3">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4">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5">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6">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7">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8">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1">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2">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3">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4">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5">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4">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5">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6">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7">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8">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9">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1">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2">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3">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4">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5">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6">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8">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9">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0">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1">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2">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3">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7">
    <w:name w:val="Hyperlink"/>
    <w:uiPriority w:val="99"/>
    <w:unhideWhenUsed/>
    <w:rPr>
      <w:color w:val="0000ff" w:themeColor="hyperlink"/>
      <w:u w:val="single"/>
    </w:rPr>
  </w:style>
  <w:style w:type="paragraph" w:styleId="828">
    <w:name w:val="footnote text"/>
    <w:basedOn w:val="845"/>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basedOn w:val="847"/>
    <w:uiPriority w:val="99"/>
    <w:unhideWhenUsed/>
    <w:rPr>
      <w:vertAlign w:val="superscript"/>
    </w:rPr>
  </w:style>
  <w:style w:type="paragraph" w:styleId="831">
    <w:name w:val="endnote text"/>
    <w:basedOn w:val="845"/>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basedOn w:val="847"/>
    <w:uiPriority w:val="99"/>
    <w:semiHidden/>
    <w:unhideWhenUsed/>
    <w:rPr>
      <w:vertAlign w:val="superscript"/>
    </w:rPr>
  </w:style>
  <w:style w:type="paragraph" w:styleId="834">
    <w:name w:val="toc 1"/>
    <w:basedOn w:val="845"/>
    <w:next w:val="845"/>
    <w:uiPriority w:val="39"/>
    <w:unhideWhenUsed/>
    <w:pPr>
      <w:ind w:left="0" w:right="0" w:firstLine="0"/>
      <w:spacing w:after="57"/>
    </w:pPr>
  </w:style>
  <w:style w:type="paragraph" w:styleId="835">
    <w:name w:val="toc 2"/>
    <w:basedOn w:val="845"/>
    <w:next w:val="845"/>
    <w:uiPriority w:val="39"/>
    <w:unhideWhenUsed/>
    <w:pPr>
      <w:ind w:left="283" w:right="0" w:firstLine="0"/>
      <w:spacing w:after="57"/>
    </w:pPr>
  </w:style>
  <w:style w:type="paragraph" w:styleId="836">
    <w:name w:val="toc 3"/>
    <w:basedOn w:val="845"/>
    <w:next w:val="845"/>
    <w:uiPriority w:val="39"/>
    <w:unhideWhenUsed/>
    <w:pPr>
      <w:ind w:left="567" w:right="0" w:firstLine="0"/>
      <w:spacing w:after="57"/>
    </w:p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next w:val="84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6">
    <w:name w:val="Heading 2"/>
    <w:basedOn w:val="845"/>
    <w:next w:val="84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Body Text First Indent 2"/>
    <w:basedOn w:val="850"/>
    <w:uiPriority w:val="0"/>
    <w:qFormat/>
    <w:pPr>
      <w:ind w:left="420" w:firstLine="420"/>
      <w:jc w:val="left"/>
      <w:spacing w:after="120" w:line="276" w:lineRule="auto"/>
      <w:tabs>
        <w:tab w:val="left" w:pos="180" w:leader="none"/>
      </w:tabs>
    </w:pPr>
    <w:rPr>
      <w:rFonts w:ascii="Calibri" w:hAnsi="Calibri" w:eastAsia="宋体" w:cs="Times New Roman"/>
      <w:sz w:val="22"/>
      <w:szCs w:val="22"/>
      <w:lang w:eastAsia="en-US"/>
    </w:rPr>
  </w:style>
  <w:style w:type="paragraph" w:styleId="850">
    <w:name w:val="Body Text Indent"/>
    <w:basedOn w:val="845"/>
    <w:next w:val="851"/>
    <w:uiPriority w:val="0"/>
    <w:qFormat/>
    <w:pPr>
      <w:ind w:firstLine="480"/>
      <w:tabs>
        <w:tab w:val="left" w:pos="180" w:leader="none"/>
      </w:tabs>
    </w:pPr>
    <w:rPr>
      <w:sz w:val="24"/>
    </w:rPr>
  </w:style>
  <w:style w:type="paragraph" w:styleId="851">
    <w:name w:val="envelope return"/>
    <w:basedOn w:val="845"/>
    <w:uiPriority w:val="0"/>
    <w:qFormat/>
    <w:rPr>
      <w:rFonts w:ascii="Arial" w:hAnsi="Arial" w:eastAsia="宋体" w:cs="Times New Roman"/>
    </w:rPr>
  </w:style>
  <w:style w:type="paragraph" w:styleId="852">
    <w:name w:val="annotation text"/>
    <w:basedOn w:val="845"/>
    <w:uiPriority w:val="0"/>
    <w:qFormat/>
    <w:pPr>
      <w:jc w:val="left"/>
    </w:pPr>
  </w:style>
  <w:style w:type="paragraph" w:styleId="853">
    <w:name w:val="Plain Text"/>
    <w:basedOn w:val="845"/>
    <w:uiPriority w:val="99"/>
    <w:qFormat/>
    <w:rPr>
      <w:rFonts w:ascii="宋体" w:hAnsi="Courier New" w:cs="Courier New"/>
    </w:rPr>
  </w:style>
  <w:style w:type="paragraph" w:styleId="854">
    <w:name w:val="Footer"/>
    <w:basedOn w:val="845"/>
    <w:link w:val="861"/>
    <w:uiPriority w:val="0"/>
    <w:qFormat/>
    <w:pPr>
      <w:jc w:val="left"/>
      <w:tabs>
        <w:tab w:val="center" w:pos="4153" w:leader="none"/>
        <w:tab w:val="right" w:pos="8306" w:leader="none"/>
      </w:tabs>
    </w:pPr>
    <w:rPr>
      <w:sz w:val="18"/>
      <w:szCs w:val="18"/>
    </w:rPr>
  </w:style>
  <w:style w:type="paragraph" w:styleId="855">
    <w:name w:val="Header"/>
    <w:basedOn w:val="845"/>
    <w:link w:val="860"/>
    <w:uiPriority w:val="0"/>
    <w:qFormat/>
    <w:pPr>
      <w:jc w:val="center"/>
      <w:tabs>
        <w:tab w:val="center" w:pos="4153" w:leader="none"/>
        <w:tab w:val="right" w:pos="8306" w:leader="none"/>
      </w:tabs>
      <w:pBdr>
        <w:bottom w:val="single" w:color="auto" w:sz="6" w:space="1"/>
      </w:pBdr>
    </w:pPr>
    <w:rPr>
      <w:sz w:val="18"/>
      <w:szCs w:val="18"/>
    </w:rPr>
  </w:style>
  <w:style w:type="paragraph" w:styleId="856">
    <w:name w:val="Normal (Web)"/>
    <w:basedOn w:val="845"/>
    <w:uiPriority w:val="0"/>
    <w:qFormat/>
    <w:pPr>
      <w:jc w:val="left"/>
      <w:spacing w:beforeAutospacing="1" w:afterAutospacing="1"/>
    </w:pPr>
    <w:rPr>
      <w:rFonts w:cs="Times New Roman"/>
      <w:sz w:val="24"/>
    </w:rPr>
  </w:style>
  <w:style w:type="table" w:styleId="857">
    <w:name w:val="Table Grid"/>
    <w:basedOn w:val="8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8" w:customStyle="1">
    <w:name w:val="Default"/>
    <w:basedOn w:val="859"/>
    <w:uiPriority w:val="0"/>
    <w:semiHidden/>
    <w:qFormat/>
    <w:pPr>
      <w:jc w:val="left"/>
    </w:pPr>
    <w:rPr>
      <w:rFonts w:ascii="宋体" w:hAnsi="Calibri" w:cs="宋体"/>
      <w:color w:val="000000"/>
      <w:sz w:val="24"/>
    </w:rPr>
  </w:style>
  <w:style w:type="paragraph" w:styleId="859" w:customStyle="1">
    <w:name w:val="标题 段落4级"/>
    <w:uiPriority w:val="0"/>
    <w:qFormat/>
    <w:pPr>
      <w:spacing w:line="500" w:lineRule="exact"/>
      <w:outlineLvl w:val="3"/>
    </w:pPr>
    <w:rPr>
      <w:rFonts w:ascii="Times New Roman" w:hAnsi="Times New Roman" w:eastAsia="仿宋_GB2312" w:cs="Calibri"/>
      <w:b/>
      <w:sz w:val="28"/>
      <w:szCs w:val="24"/>
      <w:lang w:val="en-US" w:eastAsia="zh-CN" w:bidi="ar-SA"/>
    </w:rPr>
  </w:style>
  <w:style w:type="character" w:styleId="860" w:customStyle="1">
    <w:name w:val="页眉 Char"/>
    <w:basedOn w:val="847"/>
    <w:link w:val="855"/>
    <w:uiPriority w:val="0"/>
    <w:qFormat/>
    <w:rPr>
      <w:rFonts w:asciiTheme="minorHAnsi" w:hAnsiTheme="minorHAnsi" w:eastAsiaTheme="minorEastAsia" w:cstheme="minorBidi"/>
      <w:sz w:val="18"/>
      <w:szCs w:val="18"/>
    </w:rPr>
  </w:style>
  <w:style w:type="character" w:styleId="861" w:customStyle="1">
    <w:name w:val="页脚 Char"/>
    <w:basedOn w:val="847"/>
    <w:link w:val="854"/>
    <w:uiPriority w:val="0"/>
    <w:qFormat/>
    <w:rPr>
      <w:rFonts w:asciiTheme="minorHAnsi" w:hAnsiTheme="minorHAnsi" w:eastAsiaTheme="minorEastAsia" w:cstheme="minorBidi"/>
      <w:sz w:val="18"/>
      <w:szCs w:val="18"/>
    </w:rPr>
  </w:style>
  <w:style w:type="paragraph" w:styleId="862" w:customStyle="1">
    <w:name w:val="普通正文"/>
    <w:basedOn w:val="845"/>
    <w:uiPriority w:val="0"/>
    <w:qFormat/>
    <w:pPr>
      <w:ind w:firstLine="480"/>
      <w:jc w:val="left"/>
      <w:spacing w:before="120" w:after="120" w:line="360" w:lineRule="auto"/>
    </w:pPr>
    <w:rPr>
      <w:rFonts w:ascii="Arial" w:hAnsi="Arial" w:eastAsia="等线" w:cs="Arial"/>
      <w:sz w:val="24"/>
      <w:szCs w:val="24"/>
    </w:rPr>
  </w:style>
  <w:style w:type="paragraph" w:styleId="863" w:customStyle="1">
    <w:name w:val="正文首行缩进 21"/>
    <w:basedOn w:val="864"/>
    <w:uiPriority w:val="0"/>
    <w:qFormat/>
    <w:pPr>
      <w:ind w:firstLine="420"/>
    </w:pPr>
  </w:style>
  <w:style w:type="paragraph" w:styleId="864" w:customStyle="1">
    <w:name w:val="正文文本缩进1"/>
    <w:basedOn w:val="845"/>
    <w:uiPriority w:val="0"/>
    <w:qFormat/>
    <w:pPr>
      <w:ind w:left="420"/>
      <w:spacing w:after="120"/>
    </w:pPr>
  </w:style>
  <w:style w:type="paragraph" w:styleId="865" w:customStyle="1">
    <w:name w:val="首行缩进两字"/>
    <w:basedOn w:val="845"/>
    <w:uiPriority w:val="0"/>
    <w:qFormat/>
    <w:pPr>
      <w:ind w:firstLine="560"/>
      <w:spacing w:line="360" w:lineRule="auto"/>
    </w:pPr>
    <w:rPr>
      <w:rFonts w:cs="Times New Roman"/>
      <w:color w:val="auto"/>
      <w:szCs w:val="20"/>
    </w:rPr>
  </w:style>
  <w:style w:type="numbering" w:styleId="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张旭良 </cp:lastModifiedBy>
  <cp:revision>73</cp:revision>
  <dcterms:created xsi:type="dcterms:W3CDTF">2014-10-29T12:08:00Z</dcterms:created>
  <dcterms:modified xsi:type="dcterms:W3CDTF">2025-11-14T09:11:49Z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7643032D701B495EB36CC6171468BED2_13</vt:lpwstr>
  </property>
  <property fmtid="{D5CDD505-2E9C-101B-9397-08002B2CF9AE}" pid="4" name="KSOTemplateDocerSaveRecord">
    <vt:lpwstr>eyJoZGlkIjoiN2Y3MmEwOWQxZDA3NDE5MGU1ZTg2NzcyMGM1OTgzMGMiLCJ1c2VySWQiOiI1MzAwMTA5MjkifQ==</vt:lpwstr>
  </property>
</Properties>
</file>